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7F" w:rsidRPr="00B9428E" w:rsidRDefault="00EB6917" w:rsidP="009048DD">
      <w:pPr>
        <w:spacing w:before="0" w:after="0" w:line="276" w:lineRule="auto"/>
        <w:rPr>
          <w:b/>
          <w:noProof/>
          <w:sz w:val="26"/>
          <w:szCs w:val="26"/>
          <w:lang w:val="en-IN" w:eastAsia="en-IN"/>
        </w:rPr>
      </w:pPr>
      <w:r>
        <w:rPr>
          <w:noProof/>
        </w:rPr>
        <w:drawing>
          <wp:anchor distT="0" distB="0" distL="114300" distR="114300" simplePos="0" relativeHeight="251658240" behindDoc="1" locked="0" layoutInCell="1" allowOverlap="0">
            <wp:simplePos x="0" y="0"/>
            <wp:positionH relativeFrom="column">
              <wp:posOffset>189865</wp:posOffset>
            </wp:positionH>
            <wp:positionV relativeFrom="paragraph">
              <wp:posOffset>-95250</wp:posOffset>
            </wp:positionV>
            <wp:extent cx="1173480" cy="1171575"/>
            <wp:effectExtent l="19050" t="0" r="7620" b="0"/>
            <wp:wrapThrough wrapText="bothSides">
              <wp:wrapPolygon edited="0">
                <wp:start x="-351" y="0"/>
                <wp:lineTo x="-351" y="21424"/>
                <wp:lineTo x="21740" y="21424"/>
                <wp:lineTo x="21740" y="0"/>
                <wp:lineTo x="-351" y="0"/>
              </wp:wrapPolygon>
            </wp:wrapThrough>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a:stretch>
                      <a:fillRect/>
                    </a:stretch>
                  </pic:blipFill>
                  <pic:spPr>
                    <a:xfrm>
                      <a:off x="0" y="0"/>
                      <a:ext cx="1173480" cy="1171575"/>
                    </a:xfrm>
                    <a:prstGeom prst="rect">
                      <a:avLst/>
                    </a:prstGeom>
                  </pic:spPr>
                </pic:pic>
              </a:graphicData>
            </a:graphic>
          </wp:anchor>
        </w:drawing>
      </w:r>
      <w:r w:rsidR="009048DD" w:rsidRPr="009048DD">
        <w:rPr>
          <w:b/>
          <w:bCs/>
          <w:noProof/>
          <w:sz w:val="26"/>
          <w:szCs w:val="26"/>
        </w:rPr>
        <w:t xml:space="preserve"> </w:t>
      </w:r>
      <w:r w:rsidR="009048DD" w:rsidRPr="008D2821">
        <w:rPr>
          <w:b/>
          <w:bCs/>
          <w:noProof/>
          <w:sz w:val="26"/>
          <w:szCs w:val="26"/>
        </w:rPr>
        <w:t>Nursing Practice and Education</w:t>
      </w:r>
      <w:r w:rsidR="005A27D5" w:rsidRPr="00B9428E">
        <w:rPr>
          <w:b/>
          <w:noProof/>
          <w:sz w:val="26"/>
          <w:szCs w:val="26"/>
          <w:lang w:val="en-IN" w:eastAsia="en-IN"/>
        </w:rPr>
        <w:t xml:space="preserve"> </w:t>
      </w:r>
    </w:p>
    <w:p w:rsidR="00CB557F" w:rsidRPr="00B9428E" w:rsidRDefault="00401A38" w:rsidP="009048DD">
      <w:pPr>
        <w:spacing w:before="0" w:after="0" w:line="276" w:lineRule="auto"/>
        <w:ind w:left="162"/>
      </w:pPr>
      <w:r>
        <w:rPr>
          <w:b/>
          <w:sz w:val="24"/>
        </w:rPr>
        <w:t>Vol: 1(1</w:t>
      </w:r>
      <w:r w:rsidR="005A27D5" w:rsidRPr="00B9428E">
        <w:rPr>
          <w:b/>
          <w:sz w:val="24"/>
        </w:rPr>
        <w:t xml:space="preserve">), </w:t>
      </w:r>
      <w:r>
        <w:rPr>
          <w:b/>
          <w:sz w:val="26"/>
          <w:szCs w:val="26"/>
        </w:rPr>
        <w:t>March 2024</w:t>
      </w:r>
    </w:p>
    <w:p w:rsidR="005A27D5" w:rsidRPr="00B9428E" w:rsidRDefault="005A27D5" w:rsidP="009048DD">
      <w:pPr>
        <w:spacing w:before="0" w:after="0" w:line="276" w:lineRule="auto"/>
        <w:ind w:left="162"/>
      </w:pPr>
      <w:r w:rsidRPr="00B9428E">
        <w:rPr>
          <w:b/>
          <w:sz w:val="24"/>
        </w:rPr>
        <w:t xml:space="preserve">REST Publisher; ISSN: </w:t>
      </w:r>
    </w:p>
    <w:p w:rsidR="00487A7D" w:rsidRPr="00B9428E" w:rsidRDefault="00487A7D" w:rsidP="009048DD">
      <w:pPr>
        <w:spacing w:after="0" w:line="276" w:lineRule="auto"/>
        <w:ind w:left="152" w:right="-173"/>
        <w:rPr>
          <w:b/>
          <w:color w:val="0F02BE"/>
          <w:sz w:val="24"/>
        </w:rPr>
      </w:pPr>
      <w:r w:rsidRPr="00B9428E">
        <w:rPr>
          <w:b/>
          <w:sz w:val="24"/>
        </w:rPr>
        <w:t xml:space="preserve">Website: </w:t>
      </w:r>
      <w:r w:rsidR="009048DD" w:rsidRPr="008D2821">
        <w:rPr>
          <w:b/>
          <w:color w:val="0000CC"/>
          <w:sz w:val="26"/>
          <w:szCs w:val="26"/>
        </w:rPr>
        <w:t>http://restpublisher.com/journals/npe/</w:t>
      </w:r>
    </w:p>
    <w:p w:rsidR="00B62EF1" w:rsidRDefault="00B9428E" w:rsidP="009048DD">
      <w:pPr>
        <w:spacing w:before="0" w:after="0" w:line="276" w:lineRule="auto"/>
        <w:rPr>
          <w:rFonts w:ascii="TimesTen-Bold" w:hAnsi="TimesTen-Bold" w:cs="TimesTen-Bold"/>
          <w:b/>
          <w:color w:val="131413"/>
          <w:sz w:val="36"/>
          <w:szCs w:val="36"/>
        </w:rPr>
      </w:pPr>
      <w:r w:rsidRPr="00B9428E">
        <w:rPr>
          <w:b/>
          <w:bCs/>
          <w:color w:val="auto"/>
          <w:sz w:val="24"/>
          <w:szCs w:val="28"/>
        </w:rPr>
        <w:t>DOI:</w:t>
      </w:r>
      <w:r w:rsidR="00607EE0">
        <w:rPr>
          <w:b/>
          <w:bCs/>
          <w:color w:val="auto"/>
          <w:sz w:val="24"/>
          <w:szCs w:val="28"/>
        </w:rPr>
        <w:t xml:space="preserve"> </w:t>
      </w:r>
      <w:r w:rsidR="00401A38">
        <w:rPr>
          <w:b/>
          <w:bCs/>
          <w:color w:val="0F02BE"/>
          <w:sz w:val="24"/>
          <w:szCs w:val="28"/>
        </w:rPr>
        <w:t>https://doi.org/10.46632/npe/1/1</w:t>
      </w:r>
      <w:r w:rsidR="009048DD" w:rsidRPr="009048DD">
        <w:rPr>
          <w:b/>
          <w:bCs/>
          <w:color w:val="0F02BE"/>
          <w:sz w:val="24"/>
          <w:szCs w:val="28"/>
        </w:rPr>
        <w:t>/</w:t>
      </w:r>
      <w:r w:rsidR="009048DD">
        <w:rPr>
          <w:b/>
          <w:bCs/>
          <w:color w:val="0F02BE"/>
          <w:sz w:val="24"/>
          <w:szCs w:val="28"/>
        </w:rPr>
        <w:t>3</w:t>
      </w:r>
      <w:r w:rsidR="00B62EF1">
        <w:rPr>
          <w:rFonts w:ascii="TimesTen-Bold" w:hAnsi="TimesTen-Bold" w:cs="TimesTen-Bold"/>
          <w:b/>
          <w:color w:val="131413"/>
          <w:sz w:val="36"/>
          <w:szCs w:val="36"/>
        </w:rPr>
        <w:t xml:space="preserve">            </w:t>
      </w:r>
      <w:r w:rsidR="00C12EE5">
        <w:rPr>
          <w:rFonts w:ascii="TimesTen-Bold" w:hAnsi="TimesTen-Bold" w:cs="TimesTen-Bold"/>
          <w:b/>
          <w:color w:val="131413"/>
          <w:sz w:val="36"/>
          <w:szCs w:val="36"/>
        </w:rPr>
        <w:t xml:space="preserve"> </w:t>
      </w:r>
    </w:p>
    <w:p w:rsidR="00F42935" w:rsidRDefault="00CA1AF3" w:rsidP="00EB6917">
      <w:pPr>
        <w:spacing w:before="0" w:after="0"/>
        <w:rPr>
          <w:b/>
          <w:sz w:val="36"/>
        </w:rPr>
      </w:pPr>
      <w:r w:rsidRPr="00CA1AF3">
        <w:rPr>
          <w:b/>
          <w:bCs/>
          <w:noProof/>
          <w:sz w:val="36"/>
          <w:szCs w:val="40"/>
          <w:lang w:val="en-IN" w:eastAsia="en-IN"/>
        </w:rPr>
        <w:pict>
          <v:shapetype id="_x0000_t32" coordsize="21600,21600" o:spt="32" o:oned="t" path="m,l21600,21600e" filled="f">
            <v:path arrowok="t" fillok="f" o:connecttype="none"/>
            <o:lock v:ext="edit" shapetype="t"/>
          </v:shapetype>
          <v:shape id="AutoShape 2" o:spid="_x0000_s2050" type="#_x0000_t32" style="position:absolute;left:0;text-align:left;margin-left:-2.25pt;margin-top:6.3pt;width:495.5pt;height:0;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SVIQIAAD4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" adj="-1726,-1,-1726">
            <w10:wrap anchorx="margin"/>
          </v:shape>
        </w:pict>
      </w:r>
      <w:r w:rsidR="00EB6917">
        <w:rPr>
          <w:rFonts w:ascii="TimesTen-Bold" w:hAnsi="TimesTen-Bold" w:cs="TimesTen-Bold"/>
          <w:b/>
          <w:color w:val="131413"/>
          <w:sz w:val="36"/>
          <w:szCs w:val="36"/>
        </w:rPr>
        <w:t xml:space="preserve"> </w:t>
      </w:r>
      <w:r w:rsidR="00F42935">
        <w:rPr>
          <w:b/>
          <w:sz w:val="36"/>
        </w:rPr>
        <w:t xml:space="preserve">   </w:t>
      </w:r>
      <w:r w:rsidR="0069718B">
        <w:rPr>
          <w:b/>
          <w:sz w:val="36"/>
        </w:rPr>
        <w:t xml:space="preserve"> </w:t>
      </w:r>
    </w:p>
    <w:p w:rsidR="001C25E2" w:rsidRPr="001C25E2" w:rsidRDefault="009048DD" w:rsidP="001C25E2">
      <w:pPr>
        <w:spacing w:before="0" w:after="0"/>
        <w:rPr>
          <w:b/>
          <w:sz w:val="36"/>
          <w:szCs w:val="36"/>
        </w:rPr>
      </w:pPr>
      <w:r w:rsidRPr="009048DD">
        <w:rPr>
          <w:b/>
          <w:sz w:val="36"/>
          <w:szCs w:val="36"/>
        </w:rPr>
        <w:t>Analysis of sleep disorders in women using DEMETAL method</w:t>
      </w:r>
    </w:p>
    <w:p w:rsidR="00597984" w:rsidRDefault="009048DD" w:rsidP="00D524A6">
      <w:pPr>
        <w:spacing w:before="0" w:after="0"/>
        <w:rPr>
          <w:b/>
          <w:sz w:val="24"/>
          <w:szCs w:val="48"/>
        </w:rPr>
      </w:pPr>
      <w:r>
        <w:rPr>
          <w:b/>
          <w:sz w:val="24"/>
          <w:szCs w:val="48"/>
        </w:rPr>
        <w:t xml:space="preserve">Vimala Saravanan, </w:t>
      </w:r>
      <w:r w:rsidR="00A74D31">
        <w:rPr>
          <w:b/>
          <w:bCs/>
          <w:sz w:val="24"/>
          <w:szCs w:val="36"/>
        </w:rPr>
        <w:t>Chandrasekar Raja</w:t>
      </w:r>
      <w:r w:rsidRPr="009048DD">
        <w:rPr>
          <w:b/>
          <w:bCs/>
          <w:sz w:val="24"/>
          <w:szCs w:val="36"/>
        </w:rPr>
        <w:t xml:space="preserve">; M. Ramachandran; </w:t>
      </w:r>
      <w:r w:rsidR="00A74D31">
        <w:rPr>
          <w:b/>
          <w:bCs/>
          <w:sz w:val="24"/>
          <w:szCs w:val="36"/>
        </w:rPr>
        <w:t>Chinnasami Sivaji</w:t>
      </w:r>
    </w:p>
    <w:p w:rsidR="00597984" w:rsidRDefault="00597984" w:rsidP="00D524A6">
      <w:pPr>
        <w:spacing w:before="0" w:after="0"/>
        <w:ind w:left="142" w:hanging="142"/>
        <w:rPr>
          <w:i/>
          <w:szCs w:val="48"/>
        </w:rPr>
      </w:pPr>
      <w:r w:rsidRPr="00597984">
        <w:rPr>
          <w:i/>
          <w:szCs w:val="48"/>
        </w:rPr>
        <w:t xml:space="preserve">Rest Labs, Kaveripattinam, Krishnagiri, </w:t>
      </w:r>
      <w:r w:rsidR="00232A06" w:rsidRPr="00597984">
        <w:rPr>
          <w:i/>
          <w:szCs w:val="48"/>
        </w:rPr>
        <w:t>Tamilnadu, India</w:t>
      </w:r>
    </w:p>
    <w:p w:rsidR="009E6FBB" w:rsidRDefault="00F63CBA" w:rsidP="00D524A6">
      <w:pPr>
        <w:spacing w:before="0" w:after="0"/>
      </w:pPr>
      <w:r>
        <w:rPr>
          <w:szCs w:val="20"/>
        </w:rPr>
        <w:t>*Corresponding A</w:t>
      </w:r>
      <w:r w:rsidR="003F4A6B" w:rsidRPr="00010BF5">
        <w:rPr>
          <w:szCs w:val="20"/>
        </w:rPr>
        <w:t>uthor Email:</w:t>
      </w:r>
      <w:r w:rsidR="003D77E8">
        <w:rPr>
          <w:szCs w:val="20"/>
        </w:rPr>
        <w:t xml:space="preserve"> </w:t>
      </w:r>
      <w:r w:rsidR="003F4A6B" w:rsidRPr="00010BF5">
        <w:rPr>
          <w:szCs w:val="20"/>
        </w:rPr>
        <w:t xml:space="preserve"> </w:t>
      </w:r>
      <w:r w:rsidR="009048DD" w:rsidRPr="009048DD">
        <w:rPr>
          <w:color w:val="0000CC"/>
        </w:rPr>
        <w:t>vimalarsri@gmail.com</w:t>
      </w:r>
    </w:p>
    <w:p w:rsidR="005746DF" w:rsidRPr="00FC46F4" w:rsidRDefault="005746DF" w:rsidP="001C25E2">
      <w:pPr>
        <w:spacing w:before="0" w:after="0"/>
        <w:ind w:left="720" w:right="720"/>
        <w:rPr>
          <w:i/>
        </w:rPr>
      </w:pPr>
    </w:p>
    <w:p w:rsidR="003E4B72" w:rsidRPr="003E4B72" w:rsidRDefault="003E4B72" w:rsidP="009048DD">
      <w:pPr>
        <w:spacing w:before="0" w:after="0"/>
        <w:ind w:left="720" w:right="720"/>
        <w:jc w:val="both"/>
        <w:rPr>
          <w:i/>
          <w:sz w:val="18"/>
          <w:szCs w:val="18"/>
        </w:rPr>
      </w:pPr>
      <w:r w:rsidRPr="003E4B72">
        <w:rPr>
          <w:b/>
          <w:sz w:val="18"/>
          <w:szCs w:val="18"/>
        </w:rPr>
        <w:t>Abstract:</w:t>
      </w:r>
      <w:r w:rsidRPr="003E4B72">
        <w:rPr>
          <w:sz w:val="18"/>
          <w:szCs w:val="18"/>
        </w:rPr>
        <w:t xml:space="preserve"> </w:t>
      </w:r>
      <w:r w:rsidRPr="003E4B72">
        <w:rPr>
          <w:i/>
          <w:sz w:val="18"/>
          <w:szCs w:val="18"/>
        </w:rPr>
        <w:t>Sleep disorders are a prevalent health concern that affects a significant portion of the population, with women facing unique challenges and risks. This analysis aims to shed light on sleep disorders in women, focusing on the prevalence, contributing factors, and consequences. It also explores gender-specific sleep disorders, hormonal influences, and potential treatment approaches. The prevalence of sleep disorders in women is a growing concern, with epidemiological studies indicating that women are more susceptible to certain types of sleep disturbances. Factors such as hormonal fluctuations across the menstrual cycle, pregnancy, and menopause play a pivotal role in the increased vulnerability of women to sleep problems. Additionally, socio-cultural factors, care giving responsibilities, and societal pressures can further exacerbate sleep-related issues in women.</w:t>
      </w:r>
      <w:r w:rsidR="009048DD">
        <w:rPr>
          <w:i/>
          <w:sz w:val="18"/>
          <w:szCs w:val="18"/>
        </w:rPr>
        <w:t xml:space="preserve"> </w:t>
      </w:r>
      <w:r w:rsidRPr="003E4B72">
        <w:rPr>
          <w:i/>
          <w:sz w:val="18"/>
          <w:szCs w:val="18"/>
        </w:rPr>
        <w:t>The analysis of sleep disorders in women holds significant importance due to several key factors. Firstly, women are more susceptible to certain sleep disorders, such as insomnia and restless leg syndrome, which can have a profound impact on their overall health and well-being. Understanding the prevalence, causes, and consequences of these disorders in women is crucial for developing targeted interventions and treatments. Secondly, sleep disorders in women can be closely linked to hormonal fluctuations, especially during pregnancy, menopause, and the menstrual cycle. Investigating these connections can provide valuable insights into the complex interplay between hormones and sleep regulation, potentially leading to tailored therapeutic approaches. Furthermore, the impact of sleep disorders on women's mental health, cognitive functioning, and quality of life is a significant concern. By studying these effects, researchers can shed light on the broader societal implications, such as productivity loss and healthcare costs, associated with untreated sleep disorders in women.</w:t>
      </w:r>
      <w:r w:rsidR="009048DD">
        <w:rPr>
          <w:i/>
          <w:sz w:val="18"/>
          <w:szCs w:val="18"/>
        </w:rPr>
        <w:t xml:space="preserve"> </w:t>
      </w:r>
      <w:r w:rsidRPr="003E4B72">
        <w:rPr>
          <w:i/>
          <w:sz w:val="18"/>
          <w:szCs w:val="18"/>
        </w:rPr>
        <w:t xml:space="preserve">DEMATEL (Decision Making Trial and Evaluation Laboratory) they are divided into analysis using the Nonmetal Mineral product industry, General equipment manufacturing, Mining and washing of coal, Textile industry, Food Manufacturing industry It is the interaction between the factors Visualized and assesses dependent relationships Through the structural model also deals with identifying important. </w:t>
      </w:r>
      <w:r w:rsidR="009048DD">
        <w:rPr>
          <w:i/>
          <w:sz w:val="18"/>
          <w:szCs w:val="18"/>
        </w:rPr>
        <w:t xml:space="preserve"> </w:t>
      </w:r>
      <w:r w:rsidRPr="003E4B72">
        <w:rPr>
          <w:i/>
          <w:sz w:val="18"/>
          <w:szCs w:val="18"/>
        </w:rPr>
        <w:t>From the result</w:t>
      </w:r>
      <w:r w:rsidRPr="003E4B72">
        <w:rPr>
          <w:b/>
          <w:i/>
          <w:sz w:val="18"/>
          <w:szCs w:val="18"/>
        </w:rPr>
        <w:t xml:space="preserve"> </w:t>
      </w:r>
      <w:r w:rsidRPr="003E4B72">
        <w:rPr>
          <w:i/>
          <w:sz w:val="18"/>
          <w:szCs w:val="18"/>
        </w:rPr>
        <w:t xml:space="preserve">Environmental factor is got the first rank whereas the Hypersomnia </w:t>
      </w:r>
      <w:r w:rsidRPr="003E4B72">
        <w:rPr>
          <w:i/>
          <w:sz w:val="18"/>
          <w:szCs w:val="18"/>
          <w:lang w:eastAsia="en-IN"/>
        </w:rPr>
        <w:t xml:space="preserve">is having the </w:t>
      </w:r>
      <w:r w:rsidR="008D60BB" w:rsidRPr="003E4B72">
        <w:rPr>
          <w:i/>
          <w:sz w:val="18"/>
          <w:szCs w:val="18"/>
        </w:rPr>
        <w:t>lowest</w:t>
      </w:r>
      <w:r w:rsidRPr="003E4B72">
        <w:rPr>
          <w:i/>
          <w:sz w:val="18"/>
          <w:szCs w:val="18"/>
        </w:rPr>
        <w:t xml:space="preserve"> rank.</w:t>
      </w:r>
    </w:p>
    <w:p w:rsidR="003E4B72" w:rsidRPr="003E4B72" w:rsidRDefault="003E4B72" w:rsidP="003E4B72">
      <w:pPr>
        <w:spacing w:before="0" w:after="0"/>
        <w:ind w:left="720" w:right="720"/>
        <w:jc w:val="both"/>
        <w:rPr>
          <w:b/>
          <w:i/>
          <w:sz w:val="18"/>
          <w:szCs w:val="18"/>
        </w:rPr>
      </w:pPr>
      <w:r w:rsidRPr="003E4B72">
        <w:rPr>
          <w:b/>
          <w:sz w:val="18"/>
          <w:szCs w:val="18"/>
        </w:rPr>
        <w:t>Keywords:</w:t>
      </w:r>
      <w:r w:rsidRPr="003E4B72">
        <w:rPr>
          <w:i/>
          <w:sz w:val="18"/>
          <w:szCs w:val="18"/>
        </w:rPr>
        <w:t xml:space="preserve"> sleep disorders, depression, insomnia, sleep-wake rhythm</w:t>
      </w:r>
    </w:p>
    <w:p w:rsidR="003E4B72" w:rsidRPr="003E4B72" w:rsidRDefault="003E4B72" w:rsidP="003E4B72">
      <w:pPr>
        <w:spacing w:before="0" w:after="0"/>
        <w:rPr>
          <w:b/>
          <w:i/>
          <w:sz w:val="24"/>
        </w:rPr>
      </w:pPr>
    </w:p>
    <w:p w:rsidR="00F93581" w:rsidRDefault="00F93581" w:rsidP="00FC46F4">
      <w:pPr>
        <w:autoSpaceDE w:val="0"/>
        <w:autoSpaceDN w:val="0"/>
        <w:adjustRightInd w:val="0"/>
        <w:spacing w:before="0" w:after="0"/>
        <w:jc w:val="both"/>
        <w:rPr>
          <w:rFonts w:ascii="NlftlmAdvTT3713a231" w:hAnsi="NlftlmAdvTT3713a231" w:cs="NlftlmAdvTT3713a231"/>
          <w:color w:val="131413"/>
          <w:szCs w:val="20"/>
        </w:rPr>
      </w:pPr>
    </w:p>
    <w:p w:rsidR="00F93581" w:rsidRDefault="00F93581" w:rsidP="00FC46F4">
      <w:pPr>
        <w:pBdr>
          <w:top w:val="nil"/>
          <w:left w:val="nil"/>
          <w:bottom w:val="nil"/>
          <w:right w:val="nil"/>
          <w:between w:val="nil"/>
        </w:pBdr>
        <w:spacing w:before="0" w:after="0"/>
        <w:ind w:left="360"/>
        <w:rPr>
          <w:b/>
          <w:sz w:val="24"/>
        </w:rPr>
      </w:pPr>
      <w:r>
        <w:rPr>
          <w:b/>
          <w:sz w:val="24"/>
        </w:rPr>
        <w:t xml:space="preserve">1. </w:t>
      </w:r>
      <w:r w:rsidRPr="00392582">
        <w:rPr>
          <w:b/>
          <w:sz w:val="24"/>
        </w:rPr>
        <w:t>INTRODUCTION</w:t>
      </w:r>
    </w:p>
    <w:p w:rsidR="003E4B72" w:rsidRDefault="003E4B72" w:rsidP="009048DD">
      <w:pPr>
        <w:spacing w:before="0" w:after="0"/>
        <w:jc w:val="both"/>
        <w:rPr>
          <w:rFonts w:ascii="Palatino-Roman" w:hAnsi="Palatino-Roman" w:cs="Palatino-Roman"/>
          <w:b/>
          <w:sz w:val="24"/>
          <w:szCs w:val="20"/>
        </w:rPr>
      </w:pPr>
      <w:r>
        <w:t>The decline in both the quantity and quality of sleep associated with aging raises questions about a potential connection between geriatric diseases and the aging process. While it's well-established that sleep deprivation and disruptions can negatively impact cognitive performance, there's limited understanding of how sleep issues can predict cognitive decline, and previous research findings have been inconsistent. Moreover, issues like excessive daytime sleepiness (EDS) and insomnia are common among the elderly.</w:t>
      </w:r>
      <w:r w:rsidR="00401A38">
        <w:t xml:space="preserve"> </w:t>
      </w:r>
      <w:r>
        <w:t>Until a few years ago, professionals studying sleep and aging primarily focused on sleep-disordered breathing. Few studies examined the potential role of other sleep disorders, such as insomnia and daytime sleepiness, in contributing to cognitive impairments in the elderly. Cross-sectional studies have shown a link between sleep problems and reduced cognitive function, and these sleep issues are often seen in neurodegenerative diseases.</w:t>
      </w:r>
      <w:r w:rsidR="00401A38">
        <w:t xml:space="preserve"> </w:t>
      </w:r>
      <w:r>
        <w:t>In particular, individuals with Alzheimer's disease (AD) frequently experience sleep difficulties, affecting 25-44% of them. These symptoms are similar to those observed in the general elderly population but tend to be more severe. The exact causes of these sleep disturbances in neurodegenerative diseases are still unknown, but they likely result from a combination of aging and the underlying neurodegenerative processes. Other factors like depression, chronic pain, prolonged bed rest, and medication use may also contribute to sleep problems in these individuals.</w:t>
      </w:r>
      <w:r w:rsidR="00401A38">
        <w:t xml:space="preserve"> </w:t>
      </w:r>
      <w:r>
        <w:t>The most common issue experienced during the menopausal transition is waking up during the night. This transition can extend over several years, and disruptions in sleep can have lasting effects on one's health and overall well-</w:t>
      </w:r>
      <w:r>
        <w:lastRenderedPageBreak/>
        <w:t>being. Moreover, these disturbances also impact the quality of life, work performance, and healthcare utilization.  This article aims to provide a comprehensive overview of sleep problems related to the menopausal transition, considering both self-reported experiences and scientifically observed sleep indicators. Additionally, the authors consider factors such as aging, stressful life events, female hormones, and vasomotor symptoms like hot flashes and perspiration. They emphasize the need for further research and outline various treatment approaches and their effectiveness. Understanding the causes of sleep problems during menopause and implementing practical prevention and treatment methods are essential for enhancing health, quality of life, and work capacity[2]</w:t>
      </w:r>
      <w:r w:rsidRPr="000244F4">
        <w:t xml:space="preserve">The association between multiple sclerosis (MS) and restless legs syndrome (RLS), as well as other sleep disorders, is a subject of growing interest within the medical community, particularly in the context of women's health. Multiple sclerosis is an autoimmune disease that affects the central nervous system, leading to a wide range of neurological symptoms. While the exact relationship between MS and sleep disorders is complex and not fully understood, several studies have suggested a significant connection, particularly in women. Restless legs syndrome is characterized by an irresistible urge to move one's legs, often accompanied by uncomfortable sensations. Research has shown that individuals with MS are more likely to experience RLS compared to the general population. This can be attributed to the underlying neuroinflammatory processes in MS, which may disrupt the normal functioning of the dopaminergic system involved in regulating motor movements and sleep. </w:t>
      </w:r>
      <w:r>
        <w:t xml:space="preserve">Moreover, women with MS are at a higher risk of developing sleep disorders such as insomnia, sleep apnea, and disrupted sleep patterns. These sleep disturbances can exacerbate the fatigue and cognitive impairments commonly associated with MS, negatively impacting the quality of life for women living with the disease. The interplay between MS, RLS, and other sleep disorders underscores the importance of comprehensive care and management strategies that address both the neurological and sleep-related aspects of the condition. Further research is needed to better understand these complex relationships and develop targeted interventions to improve the sleep and overall well-being of women living with multiple sclerosis [3]Menopause is characterized by a decrease in ovarian and follicular activity, eventually leading to a permanent cessation of menstruation. It's important to note that </w:t>
      </w:r>
      <w:r w:rsidR="00401A38">
        <w:t>post menopause</w:t>
      </w:r>
      <w:r>
        <w:t xml:space="preserve"> officially begins 12 months after the absence of menstruation. Considering that women typically live up to an average of 80 years, they may spend approximately one-third of their lives in the postmenopausal phase. During this stage, issues like sleep disturbances and weight gain become significant health concerns, negatively impacting their overall quality of life.</w:t>
      </w:r>
      <w:r w:rsidR="00401A38">
        <w:t xml:space="preserve"> </w:t>
      </w:r>
      <w:r>
        <w:t>Among these issues, sleep problems are more prevalent in postmenopausal women compared to younger women. The two most commonly observed sleep disorders in postmenopausal women are insomnia and obstructive sleep apnea (OSA). To enhance the quality of life for postmenopausal women, it's crucial to identify and treat these conditions early on.One contributing factor to sleep instability in postmenopausal women is a shortage of estrogen, and some have reported improved sleep patterns with hormone therapy. Sleep can be categorized into two main types: rapid eye movement (REM) sleep and non-REM (NREM) sleep. NREM sleep is further divided into stages 1 (N1), stage 2 (N2), and stage 3 (N3), also known as deep sleep or slow-wave sleep. In healthy individuals, NREM sleep predominates in the first half of the night, while REM sleep becomes more prevalent in the second half. A typical night's sleep consists of four to six separate sleep cycles, each lasting approximately 90 to 120 minutes. These cycles alternate between various sleep stages, including NREM and REM sleep, as well as periods of arousal and wakefulness.[4] Obstructive sleep apnea (OSA), a common sleep disorder, is characterized by recurrent instances of either complete or partial collapse of the upper airway during sleep, leading to reduced oxygen levels (hypoxemia) and sometimes increased carbon dioxide levels (hypercarbia). These episodes of oxygen deprivation disrupt normal sleep patterns.</w:t>
      </w:r>
      <w:r w:rsidR="00401A38">
        <w:t xml:space="preserve"> </w:t>
      </w:r>
      <w:r>
        <w:t>In pregnant women, significant physical, physiological, hormonal, and behavioral changes occur compared to non-pregnant women. Whether a woman develops OSA during pregnancy depends on the complex interplay of these factors. Several factors contribute to an increased likelihood of snoring and OSA in pregnant women, including weight gain during pregnancy, the fetus pushing upwards against the diaphragm, and hormonal changes such as estrogen-induced mucosal swelling and congestion.</w:t>
      </w:r>
      <w:r w:rsidR="00401A38">
        <w:t xml:space="preserve"> </w:t>
      </w:r>
      <w:r>
        <w:t>However, some factors counterbalance these risks. These include reduced rapid eye movement (REM) sleep and increased minute ventilation, which can be protective against OSA during pregnancy.</w:t>
      </w:r>
      <w:r w:rsidR="00401A38">
        <w:t xml:space="preserve"> </w:t>
      </w:r>
      <w:r>
        <w:t xml:space="preserve">It's important to note that OSA in pregnant women is associated with various adverse outcomes, including gestational hypertension (GH), preeclampsia, low birth weight (LBW) in infants, intrauterine growth retardation, and gestational diabetes mellitus (GDM). The hypoxic episodes resulting from OSA have also been linked to endothelial dysfunction, activation of proinflammatory cytokines, placental dysfunction, and increased sympathetic nervous system activity.[5]A meta-analysis examining the occurrence and manifestation of sleep issues among African Americans and Caucasian Americans reveals significant distinctions between these racial groups. This comprehensive study consolidates data from multiple research sources to provide a comprehensive overview of sleep-related problems. The findings suggest that, in comparison to Caucasians, African Americans are more likely to suffer from certain sleep disorders, such as sleep apnea and insomnia. These disparities can be attributed to factors like genetic predisposition, socioeconomic status, and variations in healthcare access. Additionally, cultural and environmental factors may influence the sleep patterns and behaviors of these populations. To promote better overall sleep health and well-being, our meta-analysis underscores the </w:t>
      </w:r>
      <w:r>
        <w:lastRenderedPageBreak/>
        <w:t xml:space="preserve">importance of addressing these disparities and tailoring treatments and healthcare approaches to better suit the specific needs of different racial groups [6].    Nocturia, which refers to waking up during the night to urinate, can have a significant impact on a woman's overall health and quality of life (Reference 1). Moreover, as </w:t>
      </w:r>
      <w:r w:rsidR="00401A38">
        <w:t>individual’s</w:t>
      </w:r>
      <w:r>
        <w:t xml:space="preserve"> age, experiencing nocturia becomes more common (Reference 2). Age-related issues like incontinence, urgency, and frequent urination are also associated with getting older and are particularly noticeable during menopause in women (Reference 3). Furthermore, known risk factors for nocturia include conditions such as diabetes, cardiovascular disease, and obstructive sleep apnea.</w:t>
      </w:r>
      <w:r w:rsidR="00401A38">
        <w:t xml:space="preserve"> </w:t>
      </w:r>
      <w:r>
        <w:t>Prior research has primarily focused on the relationship between nocturia and sleep disturbances in elderly individuals, both men and women (References 4 and 5). The potential connection between menopause and sleep difficulties, including hot flashes and anxiety, has been suggested but hasn't been extensively studied in the context of nocturia (Reference 6). Additionally, the role of hot flashes, anxiety, and the menopausal transition itself in contributing to sleep disturbances during the late reproductive years hasn't been thoroughly explored in previous research.[7]Epidemiological investigations have established a robust connection between sleep disorders and cognitive abnormalities, underscoring the intimate link between the two. Research suggests that individuals grappling with persistent sleep disturbances such as insomnia or sleep apnea face a heightened risk of developing cognitive impairments like Alzheimer's disease and various forms of dementia. Several mechanisms, including reduced clearance of harmful substances from the brain during sleep and ongoing inflammation, have been associated with this relationship. According to epidemiological studies, individuals with a history of sleep problems are significantly more prone to encountering cognitive challenges. These findings underscore the importance of early intervention and effective management of sleep disruptions as a potential strategy for reducing the risk of cognitive decline and enhancing overall cognitive well-being in the aging population.[8]The natural sleep cycle in adults typically begins with NREM sleep, progresses through deeper NREM stages, and eventually transitions into REM sleep. However, the composition of sleep changes as people age. Slow wave sleep (SWS), also known as stage N3, starts to decline by about 40% in preteens and continues to decrease gradually with age. This age-related reduction in total sleep time, sleep efficiency, and SWS is evident in polysomnography (PSG) studies of sleep architecture in the aging population.</w:t>
      </w:r>
      <w:r w:rsidR="00401A38">
        <w:t xml:space="preserve"> </w:t>
      </w:r>
      <w:r>
        <w:t>In women, sleep patterns can be influenced by their menstrual cycles. Women often report more sleep disruptions and poorer sleep quality around the time of their periods. However, PSG studies have shown that sleep continuity and efficiency remain unaffected by subjective sleep problems during various stages of the menstrual cycle. The percentages of SWS and slow wave activity in NREM sleep remain relatively constant throughout the menstrual cycle.</w:t>
      </w:r>
      <w:r w:rsidR="00401A38">
        <w:t xml:space="preserve"> </w:t>
      </w:r>
      <w:r>
        <w:t>The National Sleep Foundation recommends 7 to 8 hours of sleep per night for healthy older adults. However, as people age, the ability to achieve restful sleep becomes more challenging, leading to more disturbed sleep patterns. Some studies suggest that the changes in sleep duration with age are not primarily due to altered sleep needs but rather result from age-related difficulties in obtaining sufficient sleep. Sleep quality may also deteriorate and could be associated with medical, mental, or circadian-related disorders.</w:t>
      </w:r>
      <w:r w:rsidR="00401A38">
        <w:t xml:space="preserve"> </w:t>
      </w:r>
      <w:r w:rsidRPr="00680436">
        <w:rPr>
          <w:rFonts w:ascii="Palatino-Roman" w:hAnsi="Palatino-Roman" w:cs="Palatino-Roman"/>
          <w:szCs w:val="20"/>
        </w:rPr>
        <w:t>Women may exhibit different signs and prevalence rates of sleep disorders compared to men. These variations in symptoms, especially in cases of obstructive sleep apnea (OSA), can result in misdiagnoses and delays in receiving appropriate treatment. The prevalence of OSA tends to rise significantly following menopause in women. While women may experience OSA with fewer apneas/hypopneas, the consequences can be similar, if not worse. Therefore, it's crucial to consider gender-specific therapeutic considerations when treating OSA.</w:t>
      </w:r>
      <w:r w:rsidR="00401A38">
        <w:rPr>
          <w:rFonts w:ascii="Palatino-Roman" w:hAnsi="Palatino-Roman" w:cs="Palatino-Roman"/>
          <w:szCs w:val="20"/>
        </w:rPr>
        <w:t xml:space="preserve"> </w:t>
      </w:r>
      <w:r w:rsidRPr="00680436">
        <w:rPr>
          <w:rFonts w:ascii="Palatino-Roman" w:hAnsi="Palatino-Roman" w:cs="Palatino-Roman"/>
          <w:szCs w:val="20"/>
        </w:rPr>
        <w:t>Throughout most of their lives, women are considerably more prone to insomnia compared to men. Although the rates of insomnia are roughly equal before puberty, they diverge as individuals age. The increased prevalence of insomnia in women is often attributed to hormonal and psychological changes associated with significant life stages, but it can also be influenced by higher rates of pain and depression among women. Given the substantial prevalence of insomnia and its associated health conditions in women, addressing its detrimental effects on their quality of life is essential.</w:t>
      </w:r>
      <w:r w:rsidR="00401A38">
        <w:rPr>
          <w:rFonts w:ascii="Palatino-Roman" w:hAnsi="Palatino-Roman" w:cs="Palatino-Roman"/>
          <w:szCs w:val="20"/>
        </w:rPr>
        <w:t xml:space="preserve"> </w:t>
      </w:r>
      <w:r w:rsidRPr="00680436">
        <w:rPr>
          <w:rFonts w:ascii="Palatino-Roman" w:hAnsi="Palatino-Roman" w:cs="Palatino-Roman"/>
          <w:szCs w:val="20"/>
        </w:rPr>
        <w:t>There is limited scientific research available on gender differences in symptom expression and causes of narcolepsy, making it challenging to assess its clinical significance and specific effects on women. RLS is more commonly observed in women, and pregnancy can increase the likelihood of developing this condition. Despite its negative impact on quality of life, effective treatments are available for RLS.</w:t>
      </w:r>
      <w:r>
        <w:rPr>
          <w:rFonts w:ascii="Palatino-Roman" w:hAnsi="Palatino-Roman" w:cs="Palatino-Roman"/>
          <w:szCs w:val="20"/>
        </w:rPr>
        <w:t xml:space="preserve"> </w:t>
      </w:r>
      <w:r w:rsidRPr="00680436">
        <w:rPr>
          <w:rFonts w:ascii="Palatino-Roman" w:hAnsi="Palatino-Roman" w:cs="Palatino-Roman"/>
          <w:szCs w:val="20"/>
        </w:rPr>
        <w:t>Depression should be diagnosed cautiously, especially when there are no sleep-related complaints, as sleep issues are frequently interconnected with depression. Notably, a significant portion, ranging from 60% to 80%, of individuals suffering from depression may experience insomnia. Furthermore, depression is considered a substantial coexisting condition in people with chronic insomnia, regardless of its underlying cause, and depressive symptoms serve as significant risk factors for insomnia. Additionally, some commonly prescribed medications for depression can exacerbate sleep problems circadian disruptions in sleep patterns, prevalent sleep disorders associated with depression (such as night terrors, nightmares, excessive daytime sleepiness, and insomnia), and strategies for addressing depression by modifying the sleep-wake cycle. These strategies include chronotherapy, light therapy, sleep-wake cycle adjustment, and sleep pattern manipulation</w:t>
      </w:r>
      <w:r>
        <w:rPr>
          <w:rFonts w:ascii="Palatino-Roman" w:hAnsi="Palatino-Roman" w:cs="Palatino-Roman"/>
          <w:szCs w:val="20"/>
        </w:rPr>
        <w:t xml:space="preserve"> </w:t>
      </w:r>
      <w:r w:rsidRPr="00680436">
        <w:rPr>
          <w:rFonts w:ascii="Palatino-Roman" w:hAnsi="Palatino-Roman" w:cs="Palatino-Roman"/>
          <w:szCs w:val="20"/>
        </w:rPr>
        <w:t xml:space="preserve">[11].The connection between glucose tolerance and sleep problems, particularly excessive daytime drowsiness, is complex and multifaceted. Research indicates that individuals with diabetes or impaired glucose tolerance are more susceptible to experiencing sleep </w:t>
      </w:r>
      <w:r w:rsidRPr="00680436">
        <w:rPr>
          <w:rFonts w:ascii="Palatino-Roman" w:hAnsi="Palatino-Roman" w:cs="Palatino-Roman"/>
          <w:szCs w:val="20"/>
        </w:rPr>
        <w:lastRenderedPageBreak/>
        <w:t>disorders. These conditions can disrupt both the quantity and quality of sleep, leading to fatigue and daytime drowsiness. Conversely, inadequate or poor-quality sleep may adversely affect glucose metabolism, potentially worsening insulin sensitivity and glucose tolerance. This reciprocal relationship means that sleep problems and reduced glucose tolerance can exacerbate each other.</w:t>
      </w:r>
      <w:r w:rsidR="00401A38">
        <w:rPr>
          <w:rFonts w:ascii="Palatino-Roman" w:hAnsi="Palatino-Roman" w:cs="Palatino-Roman"/>
          <w:szCs w:val="20"/>
        </w:rPr>
        <w:t xml:space="preserve"> </w:t>
      </w:r>
      <w:r w:rsidRPr="00680436">
        <w:rPr>
          <w:rFonts w:ascii="Palatino-Roman" w:hAnsi="Palatino-Roman" w:cs="Palatino-Roman"/>
          <w:szCs w:val="20"/>
        </w:rPr>
        <w:t>Hormonal changes during sleep, such as the release of cortisol and growth hormone, can also impact glucose management. Because improved sleep can positively influence glucose metabolism and better glycemic control may result in improved sleep patterns and reduced daytime sleepiness, it is crucial to address both glucose tolerance and sleep disorders for overall health. A holistic approach involving dietary modifications and medical treatments can help enhance both sleep quality and glucose tolerance.</w:t>
      </w:r>
      <w:r w:rsidR="00401A38">
        <w:rPr>
          <w:rFonts w:ascii="Palatino-Roman" w:hAnsi="Palatino-Roman" w:cs="Palatino-Roman"/>
          <w:szCs w:val="20"/>
        </w:rPr>
        <w:t xml:space="preserve"> </w:t>
      </w:r>
      <w:r w:rsidRPr="004F0766">
        <w:rPr>
          <w:rFonts w:ascii="Palatino-Roman" w:hAnsi="Palatino-Roman" w:cs="Palatino-Roman"/>
          <w:szCs w:val="20"/>
        </w:rPr>
        <w:t>Postmenopausal women commonly express dissatisfaction with their sleep quality, experiencing issues like frequent awakenings at night, insufficient sleep, excessive daytime sleepiness, snoring, and sleep apnea. The prevalence of sleep disturbances tends to increase after menstruation has ceased definitively, often beginning during the menopausal transition. Research has extensively examined the reasons behind poor sleep quality in this population, which can be influenced by hormonal changes and the natural aging process.[15]</w:t>
      </w:r>
    </w:p>
    <w:p w:rsidR="00F93581" w:rsidRDefault="003E4B72" w:rsidP="001F496A">
      <w:pPr>
        <w:pBdr>
          <w:top w:val="nil"/>
          <w:left w:val="nil"/>
          <w:bottom w:val="nil"/>
          <w:right w:val="nil"/>
          <w:between w:val="nil"/>
        </w:pBdr>
        <w:rPr>
          <w:b/>
          <w:sz w:val="24"/>
          <w:szCs w:val="20"/>
        </w:rPr>
      </w:pPr>
      <w:r>
        <w:rPr>
          <w:b/>
          <w:sz w:val="24"/>
          <w:szCs w:val="20"/>
        </w:rPr>
        <w:t xml:space="preserve"> </w:t>
      </w:r>
      <w:r w:rsidR="00D221CC">
        <w:rPr>
          <w:b/>
          <w:sz w:val="24"/>
          <w:szCs w:val="20"/>
        </w:rPr>
        <w:t>2. MATERIAL A</w:t>
      </w:r>
      <w:r w:rsidR="00F93581" w:rsidRPr="00CD513D">
        <w:rPr>
          <w:b/>
          <w:sz w:val="24"/>
          <w:szCs w:val="20"/>
        </w:rPr>
        <w:t>ND METHODS</w:t>
      </w:r>
    </w:p>
    <w:p w:rsidR="003E4B72" w:rsidRDefault="003E4B72" w:rsidP="001A1811">
      <w:pPr>
        <w:spacing w:before="0" w:after="0"/>
        <w:jc w:val="both"/>
      </w:pPr>
      <w:r>
        <w:rPr>
          <w:b/>
          <w:i/>
          <w:sz w:val="22"/>
        </w:rPr>
        <w:t>2.1</w:t>
      </w:r>
      <w:r w:rsidRPr="003E4B72">
        <w:rPr>
          <w:b/>
          <w:i/>
          <w:sz w:val="22"/>
        </w:rPr>
        <w:t>Insomnia:</w:t>
      </w:r>
      <w:r>
        <w:t xml:space="preserve"> </w:t>
      </w:r>
      <w:r w:rsidRPr="00BC34C6">
        <w:t>Various factors can contribute to insomnia, including stress, anxiety, depression, poor sleep habits, medical conditions, medications, or lifestyle choices. Effective management typically involves identifying and addressing the underlying causes, implementing healthy sleep practices, and, in some cases, using medications or therapy to restore a regular sleep pattern. Chronic insomnia can have a profound impact on one's quality of life, making it essential to seek professional help if sleep disturbances persist.</w:t>
      </w:r>
    </w:p>
    <w:p w:rsidR="003E4B72" w:rsidRPr="00BC34C6" w:rsidRDefault="001A1811" w:rsidP="001A1811">
      <w:pPr>
        <w:spacing w:before="0" w:after="0"/>
        <w:jc w:val="both"/>
      </w:pPr>
      <w:r>
        <w:rPr>
          <w:b/>
          <w:i/>
        </w:rPr>
        <w:t>2.2</w:t>
      </w:r>
      <w:r w:rsidR="003E4B72" w:rsidRPr="003E4B72">
        <w:rPr>
          <w:b/>
          <w:i/>
        </w:rPr>
        <w:t xml:space="preserve"> Sleep-Disordered Breathing:</w:t>
      </w:r>
      <w:r w:rsidR="003E4B72">
        <w:rPr>
          <w:b/>
        </w:rPr>
        <w:t xml:space="preserve"> </w:t>
      </w:r>
      <w:r w:rsidR="003E4B72" w:rsidRPr="00BC34C6">
        <w:t>SDB</w:t>
      </w:r>
      <w:r w:rsidR="003E4B72">
        <w:t xml:space="preserve"> </w:t>
      </w:r>
      <w:r w:rsidR="003E4B72" w:rsidRPr="00BC34C6">
        <w:t xml:space="preserve">is a collective term for a range of breathing problems that occur during sleep, disrupting the normal pattern of breathing. The most common and well-known form of SDB is sleep apnea, characterized by repeated pauses in breathing, often caused by the relaxation of throat muscles and the collapse of the airway. These interruptions can lead to reduced oxygen levels in the blood and frequent awakenings throughout the night, resulting in excessive daytime sleepiness and various health complications. Other forms of SDB include snoring, upper airway resistance syndrome (UARS), and central sleep apnea, each with its unique characteristics and potential health implications. SDB can have serious consequences if left untreated, such as increased risk of cardiovascular problems, high blood pressure, and cognitive impairment. </w:t>
      </w:r>
      <w:r>
        <w:t xml:space="preserve"> </w:t>
      </w:r>
    </w:p>
    <w:p w:rsidR="003E4B72" w:rsidRDefault="001A1811" w:rsidP="001A1811">
      <w:pPr>
        <w:spacing w:before="0" w:after="0"/>
        <w:jc w:val="both"/>
      </w:pPr>
      <w:r>
        <w:rPr>
          <w:b/>
          <w:i/>
        </w:rPr>
        <w:t>2.3</w:t>
      </w:r>
      <w:r w:rsidR="003E4B72" w:rsidRPr="001A1811">
        <w:rPr>
          <w:b/>
          <w:i/>
        </w:rPr>
        <w:t>Restless Legs Syndrome:</w:t>
      </w:r>
      <w:r w:rsidR="003E4B72">
        <w:rPr>
          <w:b/>
        </w:rPr>
        <w:t xml:space="preserve"> </w:t>
      </w:r>
      <w:r w:rsidR="003E4B72" w:rsidRPr="00BC34C6">
        <w:t xml:space="preserve"> (RLS) is a neurological disorder characterized by uncomfortable sensations in the legs, often described as a creeping, crawling, or tingling feeling, accompanied by an irresistible urge to move the legs. These symptoms typically worsen during periods of rest or inactivity, especially during the evening or nighttime, and can significantly disrupt sleep patterns, leading to chronic sleep deprivation. While the exact cause of RLS is not fully understood, genetic factors and abnormalities in dopamine pathways in the brain have been implicated. RLS can have a considerable impact on a person's quality of life, causing restlessness, discomfort, and sleep disturbances. Treatment options vary and may include lifestyle modifications, medications, and addressing underlying medical conditions. Accurate diagnosis and individualized management are essential to alleviate the discomfort associated with RLS and improve overall well-being.</w:t>
      </w:r>
    </w:p>
    <w:p w:rsidR="003E4B72" w:rsidRDefault="001A1811" w:rsidP="001A1811">
      <w:pPr>
        <w:spacing w:before="0" w:after="0"/>
        <w:jc w:val="both"/>
      </w:pPr>
      <w:r>
        <w:rPr>
          <w:b/>
          <w:i/>
        </w:rPr>
        <w:t>2.4</w:t>
      </w:r>
      <w:r w:rsidR="003E4B72" w:rsidRPr="001A1811">
        <w:rPr>
          <w:b/>
          <w:i/>
        </w:rPr>
        <w:t>ESD</w:t>
      </w:r>
      <w:r w:rsidR="003E4B72" w:rsidRPr="001A1811">
        <w:rPr>
          <w:i/>
        </w:rPr>
        <w:t>:</w:t>
      </w:r>
      <w:r w:rsidR="003E4B72">
        <w:t xml:space="preserve"> </w:t>
      </w:r>
      <w:r w:rsidR="003E4B72" w:rsidRPr="00BC34C6">
        <w:t xml:space="preserve"> Electrostatic Discharge is a sudden and usually brief flow of electric current between two objects that have accumulated static electricity, resulting in the transfer of excess electric charge from one object to the other. ESD can occur when materials or surfaces rub against each other, generating friction and causing the build-up of static charges. While ESD events are typically harmless to humans, they can be extremely detrimental to sensitive electronic devices and components, such as computer chips, circuit boards, and integrated circuits. Even a small discharge of static electricity, which may be imperceptible to us, can cause significant damage to these components, leading to malfunctions or complete failure. To prevent ESD-related damage, industries that handle electronics use various measures, including grounding equipment, wearing anti-static clothing, and working in controlled environments with controlled humidity levels to dissipate static charges and protect sensitive electronics from harm.</w:t>
      </w:r>
    </w:p>
    <w:p w:rsidR="003E4B72" w:rsidRDefault="001A1811" w:rsidP="001A1811">
      <w:pPr>
        <w:spacing w:before="0" w:after="0"/>
        <w:jc w:val="both"/>
      </w:pPr>
      <w:r>
        <w:rPr>
          <w:b/>
          <w:i/>
        </w:rPr>
        <w:t>2.5</w:t>
      </w:r>
      <w:r w:rsidR="003E4B72" w:rsidRPr="001A1811">
        <w:rPr>
          <w:b/>
          <w:i/>
        </w:rPr>
        <w:t>NGH:</w:t>
      </w:r>
      <w:r w:rsidR="003E4B72">
        <w:rPr>
          <w:b/>
        </w:rPr>
        <w:t xml:space="preserve"> </w:t>
      </w:r>
      <w:r w:rsidR="003E4B72" w:rsidRPr="00D7426C">
        <w:t>NGH</w:t>
      </w:r>
      <w:r w:rsidR="003E4B72" w:rsidRPr="00D7426C">
        <w:rPr>
          <w:b/>
        </w:rPr>
        <w:t xml:space="preserve"> </w:t>
      </w:r>
      <w:r w:rsidR="003E4B72" w:rsidRPr="00D7426C">
        <w:t xml:space="preserve">can stand for several different things depending on the context, but one common interpretation is the National Guild of Hypnotists. The National Guild of Hypnotists is a professional organization that focuses on promoting and regulating the practice of hypnotism and hypnotherapy. It provides education, training, and certification for individuals interested in becoming hypnotists or hypnotherapists. NGH-certified practitioners often work with clients to help them address various issues, such as smoking cessation, weight loss, stress reduction, and phobia management, using hypnosis techniques. Additionally, NGH establishes ethical guidelines and standards of practice to ensure the responsible and effective use of hypnosis in therapeutic settings. </w:t>
      </w:r>
    </w:p>
    <w:p w:rsidR="003E4B72" w:rsidRDefault="001A1811" w:rsidP="001A1811">
      <w:pPr>
        <w:spacing w:before="0" w:after="0"/>
        <w:jc w:val="both"/>
        <w:rPr>
          <w:szCs w:val="20"/>
        </w:rPr>
      </w:pPr>
      <w:r>
        <w:rPr>
          <w:b/>
          <w:i/>
          <w:szCs w:val="20"/>
        </w:rPr>
        <w:t>2.6</w:t>
      </w:r>
      <w:r w:rsidR="003E4B72" w:rsidRPr="001A1811">
        <w:rPr>
          <w:b/>
          <w:i/>
          <w:szCs w:val="20"/>
        </w:rPr>
        <w:t>Hypersomnia:</w:t>
      </w:r>
      <w:r w:rsidR="009048DD">
        <w:rPr>
          <w:b/>
          <w:i/>
          <w:szCs w:val="20"/>
        </w:rPr>
        <w:t xml:space="preserve"> </w:t>
      </w:r>
      <w:r w:rsidR="003E4B72" w:rsidRPr="00D7426C">
        <w:rPr>
          <w:szCs w:val="20"/>
        </w:rPr>
        <w:t xml:space="preserve">Hypersomnia is a sleep disorder characterized by excessive daytime sleepiness and an overwhelming urge to sleep during the day, even after getting a full night's rest. Unlike insomnia, where individuals struggle to fall asleep, people with hypersomnia may have no trouble falling asleep at inappropriate times, such as during work, social activities, or while driving. Despite extended periods of sleep, individuals with </w:t>
      </w:r>
      <w:r w:rsidR="003E4B72" w:rsidRPr="00D7426C">
        <w:rPr>
          <w:szCs w:val="20"/>
        </w:rPr>
        <w:lastRenderedPageBreak/>
        <w:t xml:space="preserve">hypersomnia often experience persistent feelings of fatigue, grogginess, and difficulty maintaining alertness throughout the day. Hypersomnia can significantly impact daily functioning, productivity, and overall quality of life. Underlying causes of hypersomnia can vary, including conditions like sleep apnea, narcolepsy, or certain medical and neurological disorders. Diagnosis typically involves clinical evaluation, sleep studies, and the exclusion of other potential causes. </w:t>
      </w:r>
    </w:p>
    <w:p w:rsidR="003E4B72" w:rsidRPr="00D7426C" w:rsidRDefault="001A1811" w:rsidP="001A1811">
      <w:pPr>
        <w:spacing w:before="0" w:after="0"/>
        <w:jc w:val="both"/>
      </w:pPr>
      <w:r>
        <w:rPr>
          <w:b/>
          <w:i/>
          <w:szCs w:val="20"/>
        </w:rPr>
        <w:t>2.7</w:t>
      </w:r>
      <w:r w:rsidR="003E4B72" w:rsidRPr="001A1811">
        <w:rPr>
          <w:b/>
          <w:i/>
          <w:szCs w:val="20"/>
        </w:rPr>
        <w:t>Environmental Factors:</w:t>
      </w:r>
      <w:r w:rsidR="003E4B72">
        <w:rPr>
          <w:b/>
          <w:szCs w:val="20"/>
        </w:rPr>
        <w:t xml:space="preserve"> </w:t>
      </w:r>
      <w:r w:rsidR="003E4B72" w:rsidRPr="00D7426C">
        <w:rPr>
          <w:szCs w:val="20"/>
        </w:rPr>
        <w:t>Environmental factors refer to the various elements and conditions in the external surroundings that can have a significant impact on living organisms, ecosystems, and human societies. These factors encompass a wide range of physical, chemical, biological, and social elements, including climate, temperature, humidity, air and water quality, terrain, flora and fauna, pollution, land use, and urbanization. Environmental factors play a critical role in shaping the health and well-being of individuals and communities, as they can influence everything from human health and disease patterns to the sustainability of ecosystems and the availability of resources. Understanding and managing these factors is essential for mitigating environmental challenges, promoting sustainability, and safeguarding the health of both the planet and its inhabitants. Researchers, policymakers, and environmentalists work together to study, monitor, and implement strategies to protect and conserve natural environments while minimizing adverse impacts on human societies and the Earth's ecosystems.</w:t>
      </w:r>
    </w:p>
    <w:p w:rsidR="003E4B72" w:rsidRDefault="003E4B72" w:rsidP="001A1811">
      <w:pPr>
        <w:spacing w:before="0" w:after="0"/>
        <w:jc w:val="both"/>
        <w:rPr>
          <w:szCs w:val="20"/>
        </w:rPr>
      </w:pPr>
      <w:r>
        <w:rPr>
          <w:b/>
        </w:rPr>
        <w:t xml:space="preserve">Method: </w:t>
      </w:r>
      <w:r w:rsidRPr="00A05B2C">
        <w:rPr>
          <w:szCs w:val="20"/>
        </w:rPr>
        <w:t>The DEMATEL method addresses a specific issue, pinup binding. Work through problems with a hierarchical structure. Contribute to identifying workable solutions. Structural modeling techniques are used for one reason: interrelationships between organizational components. Dependency identification and context It can affect the basic concept of relationships. and chart direction due to the influence of elements. makes more use of graphs. DEMATEL Based on the basic principle of structure and its visualization, it processes problems by method, ana</w:t>
      </w:r>
      <w:r>
        <w:rPr>
          <w:szCs w:val="20"/>
        </w:rPr>
        <w:t>lyses them, and solves them. [16</w:t>
      </w:r>
      <w:r w:rsidRPr="00A05B2C">
        <w:rPr>
          <w:szCs w:val="20"/>
        </w:rPr>
        <w:t>]. Modeling this structure,the approach adopts the form of a driven diagram, which is a causal effect for presenting values of influence between interrelated relations and analyzing factors. By analyzing the visual relationship of conditions between systemic factors, all components A causal group and an effect are divided into groups. It also provides researchers with structure between system components. A better understanding of the relationship and complexity is needed for tr</w:t>
      </w:r>
      <w:r w:rsidR="00401A38">
        <w:rPr>
          <w:szCs w:val="20"/>
        </w:rPr>
        <w:t>oubleshooting computer problems</w:t>
      </w:r>
      <w:r w:rsidRPr="00A05B2C">
        <w:rPr>
          <w:szCs w:val="20"/>
        </w:rPr>
        <w:t xml:space="preserve"> can find ways. The DEMATEL system is integrated. Management and emergency response work in tandem. In the manner proposed, it is not necessary to defuzzify obscure numbers before using </w:t>
      </w:r>
      <w:r>
        <w:rPr>
          <w:szCs w:val="20"/>
        </w:rPr>
        <w:t>the DEMATEL method [17</w:t>
      </w:r>
      <w:r w:rsidRPr="00A05B2C">
        <w:rPr>
          <w:szCs w:val="20"/>
        </w:rPr>
        <w:t xml:space="preserve">].As a </w:t>
      </w:r>
      <w:r w:rsidR="00401A38" w:rsidRPr="00A05B2C">
        <w:rPr>
          <w:szCs w:val="20"/>
        </w:rPr>
        <w:t>result;</w:t>
      </w:r>
      <w:r w:rsidRPr="00A05B2C">
        <w:rPr>
          <w:szCs w:val="20"/>
        </w:rPr>
        <w:t xml:space="preserve"> it is unclear whether this method will accurately reflect the character. Finally, to get the final results from different aspects </w:t>
      </w:r>
      <w:r w:rsidR="00401A38" w:rsidRPr="00A05B2C">
        <w:rPr>
          <w:szCs w:val="20"/>
        </w:rPr>
        <w:t>twice</w:t>
      </w:r>
      <w:r w:rsidRPr="00A05B2C">
        <w:rPr>
          <w:szCs w:val="20"/>
        </w:rPr>
        <w:t xml:space="preserve"> in each integrated PPA, we use DEMATEL, which is ours. Decision Testing and Assessment Laboratory (DEMATEL) The DEMATEL method is a powerful method for gathering team knowledge to build a structured model and visualize the causal relationships among subsystems. But crisp values </w:t>
      </w:r>
      <w:r w:rsidR="00401A38" w:rsidRPr="00A05B2C">
        <w:rPr>
          <w:szCs w:val="20"/>
        </w:rPr>
        <w:t>the</w:t>
      </w:r>
      <w:r w:rsidRPr="00A05B2C">
        <w:rPr>
          <w:szCs w:val="20"/>
        </w:rPr>
        <w:t xml:space="preserve"> ambiguity of the real world is an adequate reflection [1</w:t>
      </w:r>
      <w:r>
        <w:rPr>
          <w:szCs w:val="20"/>
        </w:rPr>
        <w:t>8</w:t>
      </w:r>
      <w:r w:rsidRPr="00A05B2C">
        <w:rPr>
          <w:szCs w:val="20"/>
        </w:rPr>
        <w:t>]. DEMATEL investigates the relationship between equity and a variety of investment factors and factors, as well as the ANP, which is used t</w:t>
      </w:r>
      <w:r w:rsidR="00401A38">
        <w:rPr>
          <w:szCs w:val="20"/>
        </w:rPr>
        <w:t xml:space="preserve">o assess their interdependence </w:t>
      </w:r>
      <w:r w:rsidRPr="00A05B2C">
        <w:rPr>
          <w:szCs w:val="20"/>
        </w:rPr>
        <w:t>Integrates. This section is</w:t>
      </w:r>
      <w:r>
        <w:rPr>
          <w:szCs w:val="20"/>
        </w:rPr>
        <w:t>, first and foremost, detailed.</w:t>
      </w:r>
      <w:r w:rsidR="00401A38">
        <w:rPr>
          <w:szCs w:val="20"/>
        </w:rPr>
        <w:t xml:space="preserve"> </w:t>
      </w:r>
      <w:r w:rsidRPr="00A05B2C">
        <w:rPr>
          <w:szCs w:val="20"/>
        </w:rPr>
        <w:t>Establishes network relationships before increasing the weight of each ANP factor in comparison to Uses. Third, a systematic data co</w:t>
      </w:r>
      <w:r>
        <w:rPr>
          <w:szCs w:val="20"/>
        </w:rPr>
        <w:t>llection process is provided [19</w:t>
      </w:r>
      <w:r w:rsidRPr="00A05B2C">
        <w:rPr>
          <w:szCs w:val="20"/>
        </w:rPr>
        <w:t>]. The DEMATEL method quickly separates the complex set of factors into a sender organization and a receiving institution, and then translates that information into the appropriate strategy for selecting a management tool. Also, the ZOGP model enables businesses to fully utilise their limited funds for planning to develop ideal management systems by combining different configurati</w:t>
      </w:r>
      <w:r>
        <w:rPr>
          <w:szCs w:val="20"/>
        </w:rPr>
        <w:t>ons with Explicit Priorities [20</w:t>
      </w:r>
      <w:r w:rsidRPr="00A05B2C">
        <w:rPr>
          <w:szCs w:val="20"/>
        </w:rPr>
        <w:t xml:space="preserve">].DEMATEL methods. This impact and causality can be attributed to affected group barricades. Therefore, to effectively implement electronic waste management, barriers belonging to a causally Influential subgroup should be given special consideration. Decision-makers must therefore identify hurdles in order to reduce their impact or influence, guarantee that the legal is strong, and ensure that appropriate barriers are in place. Therefore, der methods ISM and DEMATEL methods, the results are somewhat consistent results grated ISM DEMATEL results for e-was determination constraints determine not only the structure of fire but also the structure of the interactions DEMATEL research, is only </w:t>
      </w:r>
      <w:r w:rsidR="00401A38" w:rsidRPr="00A05B2C">
        <w:rPr>
          <w:szCs w:val="20"/>
        </w:rPr>
        <w:t>Categories</w:t>
      </w:r>
      <w:r w:rsidRPr="00A05B2C">
        <w:rPr>
          <w:szCs w:val="20"/>
        </w:rPr>
        <w:t>: factors or only relationships between criteria The first type of clarification is: and causal Group barriers pro or Source for affected group barriers can be considered due. Therefore, in order to effectively implement electronic waste management, barriers belonging to a causal or an influential group should be considered on a priority basis.  Therefore, decision makers need to determine obstacles the legal framework is strong make sure there is controllable in order to minimize impact or influence barriers. Therefore, derived from ISM and DEMATEL methods the r</w:t>
      </w:r>
      <w:r>
        <w:rPr>
          <w:szCs w:val="20"/>
        </w:rPr>
        <w:t>esults are somewhat consistent</w:t>
      </w:r>
      <w:r w:rsidR="00401A38">
        <w:rPr>
          <w:szCs w:val="20"/>
        </w:rPr>
        <w:t xml:space="preserve"> </w:t>
      </w:r>
      <w:r>
        <w:rPr>
          <w:szCs w:val="20"/>
        </w:rPr>
        <w:t>[21].</w:t>
      </w:r>
      <w:r w:rsidR="00401A38">
        <w:rPr>
          <w:szCs w:val="20"/>
        </w:rPr>
        <w:t xml:space="preserve"> </w:t>
      </w:r>
      <w:r w:rsidRPr="00A05B2C">
        <w:rPr>
          <w:szCs w:val="20"/>
        </w:rPr>
        <w:t>DEMATEL research, spe</w:t>
      </w:r>
      <w:r>
        <w:rPr>
          <w:szCs w:val="20"/>
        </w:rPr>
        <w:t>cific applications for DEMATEL</w:t>
      </w:r>
      <w:r w:rsidR="00401A38">
        <w:rPr>
          <w:szCs w:val="20"/>
        </w:rPr>
        <w:t xml:space="preserve"> </w:t>
      </w:r>
      <w:r w:rsidRPr="00A05B2C">
        <w:rPr>
          <w:szCs w:val="20"/>
        </w:rPr>
        <w:t>categories: factors or only relationships between criteria The first type of clarification involves identifying the main factors in terms of causal relationships and interrelationship size, while the second involves identifying the criteria for relationship and</w:t>
      </w:r>
      <w:r w:rsidR="00401A38">
        <w:rPr>
          <w:szCs w:val="20"/>
        </w:rPr>
        <w:t xml:space="preserve"> impact level analysis </w:t>
      </w:r>
      <w:r>
        <w:rPr>
          <w:szCs w:val="20"/>
        </w:rPr>
        <w:t xml:space="preserve">DEMATEL </w:t>
      </w:r>
      <w:r w:rsidRPr="00A05B2C">
        <w:rPr>
          <w:szCs w:val="20"/>
        </w:rPr>
        <w:t>method. As a result, the preliminary disadvantage (cluster one) was about topics such as the comparative weights of selection makers in the DEMATEL approach, which now does not take into account lin</w:t>
      </w:r>
      <w:r>
        <w:rPr>
          <w:szCs w:val="20"/>
        </w:rPr>
        <w:t>king to team decision-making [22</w:t>
      </w:r>
      <w:r w:rsidRPr="00A05B2C">
        <w:rPr>
          <w:szCs w:val="20"/>
        </w:rPr>
        <w:t xml:space="preserve">]. Obviously, in a group decision-making hassle, regular decision-makers can always trust their point of view and count on it to be prevalent among other selection-makers. This way, the very last evaluation guides must be close to their judgments, and if the very last assessment effects are close to </w:t>
      </w:r>
      <w:r w:rsidRPr="00A05B2C">
        <w:rPr>
          <w:szCs w:val="20"/>
        </w:rPr>
        <w:lastRenderedPageBreak/>
        <w:t xml:space="preserve">their critiques, the choice maker is willing to simply accept it; otherwise, they may deny it. It is believed that methods based on unstructured comparisons, such as DEMATEL, play a significant role in the </w:t>
      </w:r>
      <w:r>
        <w:rPr>
          <w:szCs w:val="20"/>
        </w:rPr>
        <w:t>aforementioned discrepancies [23</w:t>
      </w:r>
      <w:r w:rsidRPr="00A05B2C">
        <w:rPr>
          <w:szCs w:val="20"/>
        </w:rPr>
        <w:t>]. DEMATEL is widely accepted for analyzing the overall relationship of factors and classifying factors into cause-and-effect types. Therefore, this article considers each source as a criterion in decision-making. To deal with a mixture of conflicting evidence, the significance and level of significance of each piece of evidence can be determined using DEMATEL; however, expanding the DEMATEL method with the source theory is required for better conclusions. In this article, instead of the comparative criteria provid</w:t>
      </w:r>
      <w:r>
        <w:rPr>
          <w:szCs w:val="20"/>
        </w:rPr>
        <w:t>ed by the experts in DEMATEL [24</w:t>
      </w:r>
      <w:r w:rsidRPr="00A05B2C">
        <w:rPr>
          <w:szCs w:val="20"/>
        </w:rPr>
        <w:t xml:space="preserve">], the corresponding propositions between the bodies of sources are changed. The DEMATEL technique used as well as creating causal relationships between criteria for evaluating the Integrated Multiple Scale Decision Making (MCDM) Outreach Personnel Program integrates DEMATEL and a new cluster-weighted system, in which DEMATEL is a company. The reason for the complexity between the criteria </w:t>
      </w:r>
      <w:r w:rsidR="00401A38" w:rsidRPr="00A05B2C">
        <w:rPr>
          <w:szCs w:val="20"/>
        </w:rPr>
        <w:t>this</w:t>
      </w:r>
      <w:r w:rsidRPr="00A05B2C">
        <w:rPr>
          <w:szCs w:val="20"/>
        </w:rPr>
        <w:t xml:space="preserve"> is to visualize the structure of relationships. It is also used to measure the influence of criteria. Buyukozkan and Ozturkcan integrated ANP and DEMATEL, an inn</w:t>
      </w:r>
      <w:r w:rsidR="00401A38">
        <w:rPr>
          <w:szCs w:val="20"/>
        </w:rPr>
        <w:t xml:space="preserve">ovation in terms of technology </w:t>
      </w:r>
      <w:r w:rsidRPr="00A05B2C">
        <w:rPr>
          <w:szCs w:val="20"/>
        </w:rPr>
        <w:t xml:space="preserve">have developed an </w:t>
      </w:r>
      <w:r w:rsidR="00401A38">
        <w:rPr>
          <w:szCs w:val="20"/>
        </w:rPr>
        <w:t xml:space="preserve">approach that is for companies </w:t>
      </w:r>
      <w:r w:rsidRPr="00A05B2C">
        <w:rPr>
          <w:szCs w:val="20"/>
        </w:rPr>
        <w:t>helps determine important Six Sigma Projects and logistics specifically prioritizing these projects</w:t>
      </w:r>
      <w:r>
        <w:rPr>
          <w:szCs w:val="20"/>
        </w:rPr>
        <w:t xml:space="preserve"> helps to identify companies [25</w:t>
      </w:r>
      <w:r w:rsidRPr="00A05B2C">
        <w:rPr>
          <w:szCs w:val="20"/>
        </w:rPr>
        <w:t>].</w:t>
      </w:r>
      <w:r>
        <w:rPr>
          <w:szCs w:val="20"/>
        </w:rPr>
        <w:t xml:space="preserve"> </w:t>
      </w:r>
    </w:p>
    <w:p w:rsidR="003E4B72" w:rsidRDefault="003E4B72" w:rsidP="001A1811">
      <w:pPr>
        <w:spacing w:before="0" w:after="0"/>
        <w:jc w:val="both"/>
        <w:rPr>
          <w:szCs w:val="20"/>
        </w:rPr>
      </w:pPr>
    </w:p>
    <w:p w:rsidR="001A1811" w:rsidRPr="00F97644" w:rsidRDefault="001A1811" w:rsidP="001A1811">
      <w:pPr>
        <w:rPr>
          <w:b/>
          <w:sz w:val="24"/>
          <w:szCs w:val="20"/>
        </w:rPr>
      </w:pPr>
      <w:r w:rsidRPr="00F97644">
        <w:rPr>
          <w:b/>
          <w:sz w:val="24"/>
          <w:szCs w:val="20"/>
        </w:rPr>
        <w:t>3. RESULTS AND DISCUSSION</w:t>
      </w:r>
    </w:p>
    <w:p w:rsidR="001A1811" w:rsidRDefault="001A1811" w:rsidP="001A1811">
      <w:pPr>
        <w:rPr>
          <w:sz w:val="18"/>
        </w:rPr>
      </w:pPr>
      <w:r>
        <w:rPr>
          <w:b/>
          <w:sz w:val="18"/>
        </w:rPr>
        <w:t xml:space="preserve"> </w:t>
      </w:r>
      <w:r w:rsidRPr="00711044">
        <w:rPr>
          <w:b/>
          <w:sz w:val="18"/>
        </w:rPr>
        <w:t>TABLE1</w:t>
      </w:r>
      <w:r>
        <w:rPr>
          <w:sz w:val="18"/>
        </w:rPr>
        <w:t>.</w:t>
      </w:r>
      <w:r w:rsidRPr="00711044">
        <w:rPr>
          <w:sz w:val="18"/>
        </w:rPr>
        <w:t>Analysis of sleep disorders in women</w:t>
      </w:r>
    </w:p>
    <w:tbl>
      <w:tblPr>
        <w:tblW w:w="8987"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5"/>
        <w:gridCol w:w="960"/>
        <w:gridCol w:w="888"/>
        <w:gridCol w:w="888"/>
        <w:gridCol w:w="888"/>
        <w:gridCol w:w="888"/>
        <w:gridCol w:w="1333"/>
        <w:gridCol w:w="1377"/>
      </w:tblGrid>
      <w:tr w:rsidR="001A1811" w:rsidRPr="009048DD" w:rsidTr="009048DD">
        <w:trPr>
          <w:trHeight w:val="249"/>
          <w:jc w:val="center"/>
        </w:trPr>
        <w:tc>
          <w:tcPr>
            <w:tcW w:w="1765" w:type="dxa"/>
            <w:shd w:val="clear" w:color="auto" w:fill="auto"/>
            <w:noWrap/>
            <w:vAlign w:val="bottom"/>
            <w:hideMark/>
          </w:tcPr>
          <w:p w:rsidR="001A1811" w:rsidRPr="009048DD" w:rsidRDefault="001A1811" w:rsidP="001A1811">
            <w:pPr>
              <w:spacing w:before="0" w:after="0"/>
              <w:jc w:val="left"/>
              <w:rPr>
                <w:sz w:val="18"/>
                <w:szCs w:val="18"/>
              </w:rPr>
            </w:pPr>
          </w:p>
        </w:tc>
        <w:tc>
          <w:tcPr>
            <w:tcW w:w="960"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Insomnia</w:t>
            </w:r>
          </w:p>
        </w:tc>
        <w:tc>
          <w:tcPr>
            <w:tcW w:w="888"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SDB</w:t>
            </w:r>
          </w:p>
        </w:tc>
        <w:tc>
          <w:tcPr>
            <w:tcW w:w="888"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RLS</w:t>
            </w:r>
          </w:p>
        </w:tc>
        <w:tc>
          <w:tcPr>
            <w:tcW w:w="888"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ESD</w:t>
            </w:r>
          </w:p>
        </w:tc>
        <w:tc>
          <w:tcPr>
            <w:tcW w:w="888"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NGH</w:t>
            </w:r>
          </w:p>
        </w:tc>
        <w:tc>
          <w:tcPr>
            <w:tcW w:w="1333"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Hypersomnia</w:t>
            </w:r>
          </w:p>
        </w:tc>
        <w:tc>
          <w:tcPr>
            <w:tcW w:w="1377"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Environmental Factors</w:t>
            </w:r>
          </w:p>
        </w:tc>
      </w:tr>
      <w:tr w:rsidR="001A1811" w:rsidRPr="009048DD" w:rsidTr="009048DD">
        <w:trPr>
          <w:trHeight w:val="239"/>
          <w:jc w:val="center"/>
        </w:trPr>
        <w:tc>
          <w:tcPr>
            <w:tcW w:w="1765"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Insomnia</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69</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65</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45</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100</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50</w:t>
            </w:r>
          </w:p>
        </w:tc>
        <w:tc>
          <w:tcPr>
            <w:tcW w:w="1333"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74</w:t>
            </w:r>
          </w:p>
        </w:tc>
        <w:tc>
          <w:tcPr>
            <w:tcW w:w="1377"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64</w:t>
            </w:r>
          </w:p>
        </w:tc>
      </w:tr>
      <w:tr w:rsidR="001A1811" w:rsidRPr="009048DD" w:rsidTr="009048DD">
        <w:trPr>
          <w:trHeight w:val="239"/>
          <w:jc w:val="center"/>
        </w:trPr>
        <w:tc>
          <w:tcPr>
            <w:tcW w:w="1765"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SDB</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66</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64</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42</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98</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44</w:t>
            </w:r>
          </w:p>
        </w:tc>
        <w:tc>
          <w:tcPr>
            <w:tcW w:w="1333"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60</w:t>
            </w:r>
          </w:p>
        </w:tc>
        <w:tc>
          <w:tcPr>
            <w:tcW w:w="1377"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70</w:t>
            </w:r>
          </w:p>
        </w:tc>
      </w:tr>
      <w:tr w:rsidR="001A1811" w:rsidRPr="009048DD" w:rsidTr="009048DD">
        <w:trPr>
          <w:trHeight w:val="239"/>
          <w:jc w:val="center"/>
        </w:trPr>
        <w:tc>
          <w:tcPr>
            <w:tcW w:w="1765"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RLS</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63</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66</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33</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65</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38</w:t>
            </w:r>
          </w:p>
        </w:tc>
        <w:tc>
          <w:tcPr>
            <w:tcW w:w="1333"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55</w:t>
            </w:r>
          </w:p>
        </w:tc>
        <w:tc>
          <w:tcPr>
            <w:tcW w:w="1377"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64</w:t>
            </w:r>
          </w:p>
        </w:tc>
      </w:tr>
      <w:tr w:rsidR="001A1811" w:rsidRPr="009048DD" w:rsidTr="009048DD">
        <w:trPr>
          <w:trHeight w:val="239"/>
          <w:jc w:val="center"/>
        </w:trPr>
        <w:tc>
          <w:tcPr>
            <w:tcW w:w="1765"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ESD</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42</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43</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38</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38</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24</w:t>
            </w:r>
          </w:p>
        </w:tc>
        <w:tc>
          <w:tcPr>
            <w:tcW w:w="1333"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42</w:t>
            </w:r>
          </w:p>
        </w:tc>
        <w:tc>
          <w:tcPr>
            <w:tcW w:w="1377"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63</w:t>
            </w:r>
          </w:p>
        </w:tc>
      </w:tr>
      <w:tr w:rsidR="001A1811" w:rsidRPr="009048DD" w:rsidTr="009048DD">
        <w:trPr>
          <w:trHeight w:val="239"/>
          <w:jc w:val="center"/>
        </w:trPr>
        <w:tc>
          <w:tcPr>
            <w:tcW w:w="1765"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NGH</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39</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40</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24</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30</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21</w:t>
            </w:r>
          </w:p>
        </w:tc>
        <w:tc>
          <w:tcPr>
            <w:tcW w:w="1333"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39</w:t>
            </w:r>
          </w:p>
        </w:tc>
        <w:tc>
          <w:tcPr>
            <w:tcW w:w="1377"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45</w:t>
            </w:r>
          </w:p>
        </w:tc>
      </w:tr>
      <w:tr w:rsidR="001A1811" w:rsidRPr="009048DD" w:rsidTr="009048DD">
        <w:trPr>
          <w:trHeight w:val="249"/>
          <w:jc w:val="center"/>
        </w:trPr>
        <w:tc>
          <w:tcPr>
            <w:tcW w:w="1765"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Hypersomnia</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29</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33</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21</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25</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15</w:t>
            </w:r>
          </w:p>
        </w:tc>
        <w:tc>
          <w:tcPr>
            <w:tcW w:w="1333"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28</w:t>
            </w:r>
          </w:p>
        </w:tc>
        <w:tc>
          <w:tcPr>
            <w:tcW w:w="1377"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23</w:t>
            </w:r>
          </w:p>
        </w:tc>
      </w:tr>
      <w:tr w:rsidR="001A1811" w:rsidRPr="009048DD" w:rsidTr="009048DD">
        <w:trPr>
          <w:trHeight w:val="249"/>
          <w:jc w:val="center"/>
        </w:trPr>
        <w:tc>
          <w:tcPr>
            <w:tcW w:w="1765"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Environmental Factors</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19</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20</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18</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12</w:t>
            </w:r>
          </w:p>
        </w:tc>
        <w:tc>
          <w:tcPr>
            <w:tcW w:w="888"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10</w:t>
            </w:r>
          </w:p>
        </w:tc>
        <w:tc>
          <w:tcPr>
            <w:tcW w:w="1333"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16</w:t>
            </w:r>
          </w:p>
        </w:tc>
        <w:tc>
          <w:tcPr>
            <w:tcW w:w="1377"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10</w:t>
            </w:r>
          </w:p>
        </w:tc>
      </w:tr>
    </w:tbl>
    <w:p w:rsidR="001A1811" w:rsidRPr="00BC34C6" w:rsidRDefault="001A1811" w:rsidP="001A1811">
      <w:pPr>
        <w:jc w:val="both"/>
      </w:pPr>
      <w:r>
        <w:t xml:space="preserve"> Table 1 shows the comparison of above tabulation </w:t>
      </w:r>
      <w:r w:rsidRPr="00A7621E">
        <w:t>Insomnia has the highest values with itself (69), indicating a strong correlation.</w:t>
      </w:r>
      <w:r>
        <w:t xml:space="preserve"> </w:t>
      </w:r>
      <w:r w:rsidRPr="00A7621E">
        <w:t>t also shows relatively high values with ESD (100) and Hypersomnia (74), suggesting some association between these disorders.</w:t>
      </w:r>
      <w:r>
        <w:t xml:space="preserve"> </w:t>
      </w:r>
      <w:r w:rsidRPr="00A7621E">
        <w:t>Insomnia has moderate values with SDB (65), RLS (45), NGH (50), and Environmental Factors (64).</w:t>
      </w:r>
      <w:r>
        <w:t xml:space="preserve"> </w:t>
      </w:r>
      <w:r w:rsidRPr="00A7621E">
        <w:t>SDB has the highest values with itself (64), similar to Insomnia.</w:t>
      </w:r>
      <w:r>
        <w:t xml:space="preserve"> </w:t>
      </w:r>
      <w:r w:rsidRPr="00A7621E">
        <w:t>It shows relatively high values with ESD (98) and Hypersomnia (70).</w:t>
      </w:r>
      <w:r>
        <w:t xml:space="preserve"> </w:t>
      </w:r>
      <w:r w:rsidRPr="00A7621E">
        <w:t>SDB has moderate values with Insomnia (66), RLS (42), NGH (44), and Environmental Factors (60).</w:t>
      </w:r>
      <w:r>
        <w:t xml:space="preserve"> </w:t>
      </w:r>
      <w:r w:rsidRPr="00A7621E">
        <w:t>RLS has the highest values with itself (33), indicating a strong correlation.</w:t>
      </w:r>
      <w:r>
        <w:t xml:space="preserve"> </w:t>
      </w:r>
      <w:r w:rsidRPr="00A7621E">
        <w:t>It has a relatively high value with ESD (65), suggesting some association.</w:t>
      </w:r>
      <w:r>
        <w:t xml:space="preserve"> </w:t>
      </w:r>
      <w:r w:rsidRPr="00A7621E">
        <w:t>RLS has moderate values with Insomnia (45), SDB (42), NGH (38), and Environmental Factors (64).</w:t>
      </w:r>
      <w:r>
        <w:t xml:space="preserve"> </w:t>
      </w:r>
      <w:r w:rsidRPr="00A7621E">
        <w:t>ESD has moderate values with Insomnia (100), SDB (98), and RLS (65).</w:t>
      </w:r>
      <w:r>
        <w:t xml:space="preserve"> </w:t>
      </w:r>
      <w:r w:rsidRPr="00A7621E">
        <w:t>It shows higher values with itself (38), indicating some correlation.</w:t>
      </w:r>
      <w:r>
        <w:t xml:space="preserve"> </w:t>
      </w:r>
      <w:r w:rsidRPr="00A7621E">
        <w:t>ESD has lower values with NGH (24), Hypersomnia (42), and Environmental Factors (63).</w:t>
      </w:r>
      <w:r>
        <w:t xml:space="preserve"> </w:t>
      </w:r>
      <w:r w:rsidRPr="00A7621E">
        <w:t>NGH has moderate values with Insomnia (50), SDB (44), RLS (38), and ESD (24).</w:t>
      </w:r>
      <w:r>
        <w:t xml:space="preserve"> </w:t>
      </w:r>
      <w:r w:rsidRPr="00A7621E">
        <w:t>It has the highest values with itself (21), suggesting a correlation.</w:t>
      </w:r>
      <w:r>
        <w:t xml:space="preserve"> </w:t>
      </w:r>
      <w:r w:rsidRPr="00A7621E">
        <w:t>NGH also shows moderate values with Hypersomnia (39) and Environmental Factors (45).</w:t>
      </w:r>
      <w:r>
        <w:t xml:space="preserve"> </w:t>
      </w:r>
      <w:r w:rsidRPr="00A7621E">
        <w:t>Hypersomnia has moderate values with Insomnia (74), SDB (70), RLS (64), ESD (63), and NGH (45).</w:t>
      </w:r>
      <w:r>
        <w:t xml:space="preserve"> </w:t>
      </w:r>
      <w:r w:rsidRPr="00A7621E">
        <w:t>It has the highest value with itself (28), indicating a correlation.</w:t>
      </w:r>
      <w:r>
        <w:t xml:space="preserve"> </w:t>
      </w:r>
      <w:r w:rsidRPr="00A7621E">
        <w:t>Hypersomnia has moderate values with Environmental Factors (23).</w:t>
      </w:r>
      <w:r>
        <w:t xml:space="preserve"> </w:t>
      </w:r>
      <w:r w:rsidRPr="00A7621E">
        <w:t>Environmental Factors generally have lower values compared to the disorders, indicating weaker associations.</w:t>
      </w:r>
      <w:r>
        <w:t xml:space="preserve"> </w:t>
      </w:r>
    </w:p>
    <w:p w:rsidR="001A1811" w:rsidRDefault="001A1811" w:rsidP="001A1811">
      <w:pPr>
        <w:rPr>
          <w:szCs w:val="20"/>
        </w:rPr>
      </w:pPr>
      <w:r w:rsidRPr="00DC3BCC">
        <w:rPr>
          <w:b/>
          <w:szCs w:val="20"/>
        </w:rPr>
        <w:t>TABLE 2.</w:t>
      </w:r>
      <w:r w:rsidRPr="00DC3BCC">
        <w:rPr>
          <w:szCs w:val="20"/>
        </w:rPr>
        <w:t>Normalization of direct relation matrix</w:t>
      </w:r>
      <w:r>
        <w:rPr>
          <w:szCs w:val="20"/>
        </w:rPr>
        <w:t xml:space="preserve"> </w:t>
      </w:r>
    </w:p>
    <w:tbl>
      <w:tblPr>
        <w:tblW w:w="10062"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960"/>
        <w:gridCol w:w="960"/>
        <w:gridCol w:w="960"/>
        <w:gridCol w:w="960"/>
        <w:gridCol w:w="960"/>
        <w:gridCol w:w="1257"/>
        <w:gridCol w:w="2191"/>
      </w:tblGrid>
      <w:tr w:rsidR="001A1811" w:rsidRPr="009048DD" w:rsidTr="00401A38">
        <w:trPr>
          <w:trHeight w:val="336"/>
          <w:jc w:val="center"/>
        </w:trPr>
        <w:tc>
          <w:tcPr>
            <w:tcW w:w="1814" w:type="dxa"/>
            <w:shd w:val="clear" w:color="auto" w:fill="auto"/>
            <w:noWrap/>
            <w:vAlign w:val="bottom"/>
            <w:hideMark/>
          </w:tcPr>
          <w:p w:rsidR="001A1811" w:rsidRPr="009048DD" w:rsidRDefault="001A1811" w:rsidP="001A1811">
            <w:pPr>
              <w:spacing w:before="0" w:after="0"/>
              <w:jc w:val="left"/>
              <w:rPr>
                <w:b/>
                <w:bCs/>
                <w:sz w:val="18"/>
                <w:szCs w:val="18"/>
              </w:rPr>
            </w:pPr>
            <w:r w:rsidRPr="009048DD">
              <w:rPr>
                <w:sz w:val="18"/>
                <w:szCs w:val="18"/>
              </w:rPr>
              <w:t xml:space="preserve"> </w:t>
            </w:r>
          </w:p>
        </w:tc>
        <w:tc>
          <w:tcPr>
            <w:tcW w:w="960"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Insomnia</w:t>
            </w:r>
          </w:p>
        </w:tc>
        <w:tc>
          <w:tcPr>
            <w:tcW w:w="960"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SDB</w:t>
            </w:r>
          </w:p>
        </w:tc>
        <w:tc>
          <w:tcPr>
            <w:tcW w:w="960"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RLS</w:t>
            </w:r>
          </w:p>
        </w:tc>
        <w:tc>
          <w:tcPr>
            <w:tcW w:w="960"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ESD</w:t>
            </w:r>
          </w:p>
        </w:tc>
        <w:tc>
          <w:tcPr>
            <w:tcW w:w="960"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NGH</w:t>
            </w:r>
          </w:p>
        </w:tc>
        <w:tc>
          <w:tcPr>
            <w:tcW w:w="1257"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Hypersomnia</w:t>
            </w:r>
          </w:p>
        </w:tc>
        <w:tc>
          <w:tcPr>
            <w:tcW w:w="2191"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Environmental Factors</w:t>
            </w:r>
          </w:p>
        </w:tc>
      </w:tr>
      <w:tr w:rsidR="001A1811" w:rsidRPr="009048DD" w:rsidTr="00401A38">
        <w:trPr>
          <w:trHeight w:val="288"/>
          <w:jc w:val="center"/>
        </w:trPr>
        <w:tc>
          <w:tcPr>
            <w:tcW w:w="1814"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Insomnia</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0.147752</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0.139186</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0.09636</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0.214133</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0.107066</w:t>
            </w:r>
          </w:p>
        </w:tc>
        <w:tc>
          <w:tcPr>
            <w:tcW w:w="1257"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0.158458</w:t>
            </w:r>
          </w:p>
        </w:tc>
        <w:tc>
          <w:tcPr>
            <w:tcW w:w="2191"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0.137044968</w:t>
            </w:r>
          </w:p>
        </w:tc>
      </w:tr>
      <w:tr w:rsidR="001A1811" w:rsidRPr="009048DD" w:rsidTr="00401A38">
        <w:trPr>
          <w:trHeight w:val="288"/>
          <w:jc w:val="center"/>
        </w:trPr>
        <w:tc>
          <w:tcPr>
            <w:tcW w:w="1814"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SDB</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0.141328</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0.137045</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0.089936</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0.20985</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0.094218</w:t>
            </w:r>
          </w:p>
        </w:tc>
        <w:tc>
          <w:tcPr>
            <w:tcW w:w="1257"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0.12848</w:t>
            </w:r>
          </w:p>
        </w:tc>
        <w:tc>
          <w:tcPr>
            <w:tcW w:w="2191"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0.149892934</w:t>
            </w:r>
          </w:p>
        </w:tc>
      </w:tr>
      <w:tr w:rsidR="001A1811" w:rsidRPr="009048DD" w:rsidTr="00401A38">
        <w:trPr>
          <w:trHeight w:val="288"/>
          <w:jc w:val="center"/>
        </w:trPr>
        <w:tc>
          <w:tcPr>
            <w:tcW w:w="1814"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RLS</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0.134904</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0.141328</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0.070664</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0.139186</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0.08137</w:t>
            </w:r>
          </w:p>
        </w:tc>
        <w:tc>
          <w:tcPr>
            <w:tcW w:w="1257"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0.117773</w:t>
            </w:r>
          </w:p>
        </w:tc>
        <w:tc>
          <w:tcPr>
            <w:tcW w:w="2191"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0.137044968</w:t>
            </w:r>
          </w:p>
        </w:tc>
      </w:tr>
      <w:tr w:rsidR="001A1811" w:rsidRPr="009048DD" w:rsidTr="00401A38">
        <w:trPr>
          <w:trHeight w:val="288"/>
          <w:jc w:val="center"/>
        </w:trPr>
        <w:tc>
          <w:tcPr>
            <w:tcW w:w="1814"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ESD</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0.089936</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0.092077</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0.08137</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0.08137</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0.051392</w:t>
            </w:r>
          </w:p>
        </w:tc>
        <w:tc>
          <w:tcPr>
            <w:tcW w:w="1257"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0.089936</w:t>
            </w:r>
          </w:p>
        </w:tc>
        <w:tc>
          <w:tcPr>
            <w:tcW w:w="2191"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0.13490364</w:t>
            </w:r>
          </w:p>
        </w:tc>
      </w:tr>
      <w:tr w:rsidR="001A1811" w:rsidRPr="009048DD" w:rsidTr="00401A38">
        <w:trPr>
          <w:trHeight w:val="288"/>
          <w:jc w:val="center"/>
        </w:trPr>
        <w:tc>
          <w:tcPr>
            <w:tcW w:w="1814"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NGH</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0.083512</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0.085653</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0.051392</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0.06424</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0.044968</w:t>
            </w:r>
          </w:p>
        </w:tc>
        <w:tc>
          <w:tcPr>
            <w:tcW w:w="1257"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0.083512</w:t>
            </w:r>
          </w:p>
        </w:tc>
        <w:tc>
          <w:tcPr>
            <w:tcW w:w="2191"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0.096359743</w:t>
            </w:r>
          </w:p>
        </w:tc>
      </w:tr>
      <w:tr w:rsidR="001A1811" w:rsidRPr="009048DD" w:rsidTr="00401A38">
        <w:trPr>
          <w:trHeight w:val="233"/>
          <w:jc w:val="center"/>
        </w:trPr>
        <w:tc>
          <w:tcPr>
            <w:tcW w:w="1814"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Hypersomnia</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0.062099</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0.070664</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0.044968</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0.053533</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0.03212</w:t>
            </w:r>
          </w:p>
        </w:tc>
        <w:tc>
          <w:tcPr>
            <w:tcW w:w="1257"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0.059957</w:t>
            </w:r>
          </w:p>
        </w:tc>
        <w:tc>
          <w:tcPr>
            <w:tcW w:w="2191"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0.049250535</w:t>
            </w:r>
          </w:p>
        </w:tc>
      </w:tr>
      <w:tr w:rsidR="001A1811" w:rsidRPr="009048DD" w:rsidTr="00401A38">
        <w:trPr>
          <w:trHeight w:val="70"/>
          <w:jc w:val="center"/>
        </w:trPr>
        <w:tc>
          <w:tcPr>
            <w:tcW w:w="1814" w:type="dxa"/>
            <w:shd w:val="clear" w:color="auto" w:fill="auto"/>
            <w:noWrap/>
            <w:vAlign w:val="bottom"/>
            <w:hideMark/>
          </w:tcPr>
          <w:p w:rsidR="001A1811" w:rsidRPr="009048DD" w:rsidRDefault="001A1811" w:rsidP="001A1811">
            <w:pPr>
              <w:spacing w:before="0" w:after="0"/>
              <w:rPr>
                <w:b/>
                <w:sz w:val="18"/>
                <w:szCs w:val="18"/>
              </w:rPr>
            </w:pPr>
            <w:r w:rsidRPr="009048DD">
              <w:rPr>
                <w:b/>
                <w:sz w:val="18"/>
                <w:szCs w:val="18"/>
              </w:rPr>
              <w:t>Environmental Factors</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0.040685</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0.042827</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0.038544</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0.025696</w:t>
            </w:r>
          </w:p>
        </w:tc>
        <w:tc>
          <w:tcPr>
            <w:tcW w:w="960"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0.021413</w:t>
            </w:r>
          </w:p>
        </w:tc>
        <w:tc>
          <w:tcPr>
            <w:tcW w:w="1257"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0.034261</w:t>
            </w:r>
          </w:p>
        </w:tc>
        <w:tc>
          <w:tcPr>
            <w:tcW w:w="2191" w:type="dxa"/>
            <w:shd w:val="clear" w:color="auto" w:fill="auto"/>
            <w:noWrap/>
            <w:vAlign w:val="bottom"/>
            <w:hideMark/>
          </w:tcPr>
          <w:p w:rsidR="001A1811" w:rsidRPr="009048DD" w:rsidRDefault="001A1811" w:rsidP="001A1811">
            <w:pPr>
              <w:spacing w:before="0" w:after="0"/>
              <w:rPr>
                <w:sz w:val="18"/>
                <w:szCs w:val="18"/>
              </w:rPr>
            </w:pPr>
            <w:r w:rsidRPr="009048DD">
              <w:rPr>
                <w:sz w:val="18"/>
                <w:szCs w:val="18"/>
              </w:rPr>
              <w:t>0.021413276</w:t>
            </w:r>
          </w:p>
        </w:tc>
      </w:tr>
    </w:tbl>
    <w:p w:rsidR="001A1811" w:rsidRPr="001A1811" w:rsidRDefault="001A1811" w:rsidP="009048DD">
      <w:pPr>
        <w:spacing w:before="0" w:after="0"/>
        <w:jc w:val="both"/>
        <w:rPr>
          <w:szCs w:val="20"/>
        </w:rPr>
      </w:pPr>
      <w:r>
        <w:rPr>
          <w:szCs w:val="20"/>
        </w:rPr>
        <w:lastRenderedPageBreak/>
        <w:t xml:space="preserve"> </w:t>
      </w:r>
      <w:r w:rsidRPr="001A1811">
        <w:rPr>
          <w:szCs w:val="20"/>
        </w:rPr>
        <w:t xml:space="preserve">Table 2 shows normalization of direct relation matrix Rows and Columns:The rows and columns in the table represent different sleep disorders (Insomnia, SDB, RLS, ESD, NGH, Hypersomnia) and environmental factors, respectively. Each cell in the table contains a normalized value representing the strength of the direct relationship between the corresponding disorder (row) and environmental factor (column). Normalized Values:The values in the table range from 0 to 1, with 1 indicating a strong direct relationship or association, and 0 indicating no relationship. The values between 0 and 1 represent varying degrees of association. Interpretation: Here's how to interpret some of the values in the table: The value in the cell at the intersection of "Insomnia" and "Insomnia" is 0.147752, indicating that Insomnia has a moderate direct relationship with itself.The value in the cell at the intersection of "Insomnia" and "SDB" is 0.139186, suggesting a moderate direct relationship between Insomnia and SDB. The value in the cell at the intersection of "ESD" and "NGH" is 0.051392, indicating a relatively weak direct relationship between ESD and NGH.The value in the cell at the intersection of "Environmental Factors" and "Hypersomnia" is 0.021413276, suggesting a weak direct relationship between Environmental Factors and Hypersomnia. Normalization Purpose: Normalizing the values in the matrix allows for a fair comparison of the strength of relationships between different pairs of disorders and environmental factors, as it scales them to a common range. </w:t>
      </w:r>
    </w:p>
    <w:p w:rsidR="001A1811" w:rsidRDefault="001A1811" w:rsidP="001A1811">
      <w:pPr>
        <w:rPr>
          <w:sz w:val="22"/>
        </w:rPr>
      </w:pPr>
      <w:r w:rsidRPr="00C41317">
        <w:rPr>
          <w:noProof/>
          <w:sz w:val="22"/>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1811" w:rsidRDefault="001A1811" w:rsidP="001A1811">
      <w:pPr>
        <w:rPr>
          <w:szCs w:val="20"/>
        </w:rPr>
      </w:pPr>
      <w:r w:rsidRPr="00FF38EF">
        <w:rPr>
          <w:b/>
          <w:szCs w:val="20"/>
        </w:rPr>
        <w:t xml:space="preserve">FIGURE </w:t>
      </w:r>
      <w:r>
        <w:rPr>
          <w:b/>
          <w:szCs w:val="20"/>
        </w:rPr>
        <w:t>1.</w:t>
      </w:r>
      <w:r w:rsidRPr="00DC3BCC">
        <w:rPr>
          <w:szCs w:val="20"/>
        </w:rPr>
        <w:t>Normalization of direct relation matrix</w:t>
      </w:r>
    </w:p>
    <w:p w:rsidR="001A1811" w:rsidRDefault="001A1811" w:rsidP="001A1811">
      <w:pPr>
        <w:rPr>
          <w:szCs w:val="20"/>
        </w:rPr>
      </w:pPr>
      <w:r>
        <w:rPr>
          <w:szCs w:val="20"/>
        </w:rPr>
        <w:t xml:space="preserve"> Figure 1 illustrate the graphical representation of normalized of direct relation matrix</w:t>
      </w:r>
    </w:p>
    <w:p w:rsidR="001A1811" w:rsidRDefault="001A1811" w:rsidP="001A1811">
      <w:pPr>
        <w:rPr>
          <w:sz w:val="18"/>
          <w:szCs w:val="18"/>
          <w:lang w:eastAsia="en-IN"/>
        </w:rPr>
      </w:pPr>
      <w:r w:rsidRPr="00EC2F28">
        <w:rPr>
          <w:b/>
          <w:sz w:val="18"/>
          <w:szCs w:val="18"/>
        </w:rPr>
        <w:t>TABLE 3.</w:t>
      </w:r>
      <w:r w:rsidRPr="00EC2F28">
        <w:rPr>
          <w:sz w:val="18"/>
          <w:szCs w:val="18"/>
          <w:lang w:eastAsia="en-IN"/>
        </w:rPr>
        <w:t>Calculate the Total Relation Matrix</w:t>
      </w:r>
    </w:p>
    <w:tbl>
      <w:tblPr>
        <w:tblW w:w="9782"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1224"/>
        <w:gridCol w:w="1488"/>
        <w:gridCol w:w="1488"/>
        <w:gridCol w:w="1488"/>
        <w:gridCol w:w="1488"/>
        <w:gridCol w:w="1377"/>
      </w:tblGrid>
      <w:tr w:rsidR="001A1811" w:rsidRPr="00C41317" w:rsidTr="001A1811">
        <w:trPr>
          <w:trHeight w:val="305"/>
          <w:jc w:val="center"/>
        </w:trPr>
        <w:tc>
          <w:tcPr>
            <w:tcW w:w="1229" w:type="dxa"/>
            <w:shd w:val="clear" w:color="auto" w:fill="auto"/>
            <w:noWrap/>
            <w:vAlign w:val="bottom"/>
            <w:hideMark/>
          </w:tcPr>
          <w:p w:rsidR="001A1811" w:rsidRPr="00F54FEA" w:rsidRDefault="001A1811" w:rsidP="001A1811">
            <w:pPr>
              <w:spacing w:before="0" w:after="0"/>
              <w:rPr>
                <w:b/>
                <w:sz w:val="18"/>
                <w:szCs w:val="18"/>
              </w:rPr>
            </w:pPr>
            <w:r w:rsidRPr="00F54FEA">
              <w:rPr>
                <w:b/>
                <w:sz w:val="18"/>
                <w:szCs w:val="18"/>
              </w:rPr>
              <w:t>Insomnia</w:t>
            </w:r>
          </w:p>
        </w:tc>
        <w:tc>
          <w:tcPr>
            <w:tcW w:w="1224" w:type="dxa"/>
            <w:shd w:val="clear" w:color="auto" w:fill="auto"/>
            <w:noWrap/>
            <w:vAlign w:val="bottom"/>
            <w:hideMark/>
          </w:tcPr>
          <w:p w:rsidR="001A1811" w:rsidRPr="00F54FEA" w:rsidRDefault="001A1811" w:rsidP="001A1811">
            <w:pPr>
              <w:spacing w:before="0" w:after="0"/>
              <w:rPr>
                <w:b/>
                <w:sz w:val="18"/>
                <w:szCs w:val="18"/>
              </w:rPr>
            </w:pPr>
            <w:r w:rsidRPr="00F54FEA">
              <w:rPr>
                <w:b/>
                <w:sz w:val="18"/>
                <w:szCs w:val="18"/>
              </w:rPr>
              <w:t>SDB</w:t>
            </w:r>
          </w:p>
        </w:tc>
        <w:tc>
          <w:tcPr>
            <w:tcW w:w="1488" w:type="dxa"/>
            <w:shd w:val="clear" w:color="auto" w:fill="auto"/>
            <w:noWrap/>
            <w:vAlign w:val="bottom"/>
            <w:hideMark/>
          </w:tcPr>
          <w:p w:rsidR="001A1811" w:rsidRPr="00F54FEA" w:rsidRDefault="001A1811" w:rsidP="001A1811">
            <w:pPr>
              <w:spacing w:before="0" w:after="0"/>
              <w:rPr>
                <w:b/>
                <w:sz w:val="18"/>
                <w:szCs w:val="18"/>
              </w:rPr>
            </w:pPr>
            <w:r w:rsidRPr="00F54FEA">
              <w:rPr>
                <w:b/>
                <w:sz w:val="18"/>
                <w:szCs w:val="18"/>
              </w:rPr>
              <w:t>RLS</w:t>
            </w:r>
          </w:p>
        </w:tc>
        <w:tc>
          <w:tcPr>
            <w:tcW w:w="1488" w:type="dxa"/>
            <w:shd w:val="clear" w:color="auto" w:fill="auto"/>
            <w:noWrap/>
            <w:vAlign w:val="bottom"/>
            <w:hideMark/>
          </w:tcPr>
          <w:p w:rsidR="001A1811" w:rsidRPr="00F54FEA" w:rsidRDefault="001A1811" w:rsidP="001A1811">
            <w:pPr>
              <w:spacing w:before="0" w:after="0"/>
              <w:rPr>
                <w:b/>
                <w:sz w:val="18"/>
                <w:szCs w:val="18"/>
              </w:rPr>
            </w:pPr>
            <w:r w:rsidRPr="00F54FEA">
              <w:rPr>
                <w:b/>
                <w:sz w:val="18"/>
                <w:szCs w:val="18"/>
              </w:rPr>
              <w:t>ESD</w:t>
            </w:r>
          </w:p>
        </w:tc>
        <w:tc>
          <w:tcPr>
            <w:tcW w:w="1488" w:type="dxa"/>
            <w:shd w:val="clear" w:color="auto" w:fill="auto"/>
            <w:noWrap/>
            <w:vAlign w:val="bottom"/>
            <w:hideMark/>
          </w:tcPr>
          <w:p w:rsidR="001A1811" w:rsidRPr="00F54FEA" w:rsidRDefault="001A1811" w:rsidP="001A1811">
            <w:pPr>
              <w:spacing w:before="0" w:after="0"/>
              <w:rPr>
                <w:b/>
                <w:sz w:val="18"/>
                <w:szCs w:val="18"/>
              </w:rPr>
            </w:pPr>
            <w:r w:rsidRPr="00F54FEA">
              <w:rPr>
                <w:b/>
                <w:sz w:val="18"/>
                <w:szCs w:val="18"/>
              </w:rPr>
              <w:t>NGH</w:t>
            </w:r>
          </w:p>
        </w:tc>
        <w:tc>
          <w:tcPr>
            <w:tcW w:w="1488" w:type="dxa"/>
            <w:shd w:val="clear" w:color="auto" w:fill="auto"/>
            <w:noWrap/>
            <w:vAlign w:val="bottom"/>
            <w:hideMark/>
          </w:tcPr>
          <w:p w:rsidR="001A1811" w:rsidRPr="00F54FEA" w:rsidRDefault="001A1811" w:rsidP="001A1811">
            <w:pPr>
              <w:spacing w:before="0" w:after="0"/>
              <w:rPr>
                <w:b/>
                <w:sz w:val="18"/>
                <w:szCs w:val="18"/>
              </w:rPr>
            </w:pPr>
            <w:r w:rsidRPr="00F54FEA">
              <w:rPr>
                <w:b/>
                <w:sz w:val="18"/>
                <w:szCs w:val="18"/>
              </w:rPr>
              <w:t>Hypersomnia</w:t>
            </w:r>
          </w:p>
        </w:tc>
        <w:tc>
          <w:tcPr>
            <w:tcW w:w="1377" w:type="dxa"/>
            <w:shd w:val="clear" w:color="auto" w:fill="auto"/>
            <w:noWrap/>
            <w:vAlign w:val="bottom"/>
            <w:hideMark/>
          </w:tcPr>
          <w:p w:rsidR="001A1811" w:rsidRPr="00F54FEA" w:rsidRDefault="001A1811" w:rsidP="001A1811">
            <w:pPr>
              <w:spacing w:before="0" w:after="0"/>
              <w:rPr>
                <w:b/>
                <w:sz w:val="18"/>
                <w:szCs w:val="18"/>
              </w:rPr>
            </w:pPr>
            <w:r w:rsidRPr="00F54FEA">
              <w:rPr>
                <w:b/>
                <w:sz w:val="18"/>
                <w:szCs w:val="18"/>
              </w:rPr>
              <w:t>Environmental Factors</w:t>
            </w:r>
          </w:p>
        </w:tc>
      </w:tr>
      <w:tr w:rsidR="001A1811" w:rsidRPr="00C41317" w:rsidTr="001A1811">
        <w:trPr>
          <w:trHeight w:val="271"/>
          <w:jc w:val="center"/>
        </w:trPr>
        <w:tc>
          <w:tcPr>
            <w:tcW w:w="1229"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0.147751606</w:t>
            </w:r>
          </w:p>
        </w:tc>
        <w:tc>
          <w:tcPr>
            <w:tcW w:w="1224"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0.139186296</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0.096359743</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0.214132762</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0.107066381</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0.158458244</w:t>
            </w:r>
          </w:p>
        </w:tc>
        <w:tc>
          <w:tcPr>
            <w:tcW w:w="1377"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0.137044968</w:t>
            </w:r>
          </w:p>
        </w:tc>
      </w:tr>
      <w:tr w:rsidR="001A1811" w:rsidRPr="00C41317" w:rsidTr="001A1811">
        <w:trPr>
          <w:trHeight w:val="271"/>
          <w:jc w:val="center"/>
        </w:trPr>
        <w:tc>
          <w:tcPr>
            <w:tcW w:w="1229"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0.141327623</w:t>
            </w:r>
          </w:p>
        </w:tc>
        <w:tc>
          <w:tcPr>
            <w:tcW w:w="1224"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0.137044968</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0.08993576</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0.209850107</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0.094218415</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0.128479657</w:t>
            </w:r>
          </w:p>
        </w:tc>
        <w:tc>
          <w:tcPr>
            <w:tcW w:w="1377"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0.149892934</w:t>
            </w:r>
          </w:p>
        </w:tc>
      </w:tr>
      <w:tr w:rsidR="001A1811" w:rsidRPr="00C41317" w:rsidTr="001A1811">
        <w:trPr>
          <w:trHeight w:val="271"/>
          <w:jc w:val="center"/>
        </w:trPr>
        <w:tc>
          <w:tcPr>
            <w:tcW w:w="1229"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0.13490364</w:t>
            </w:r>
          </w:p>
        </w:tc>
        <w:tc>
          <w:tcPr>
            <w:tcW w:w="1224"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0.141327623</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0.070663812</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0.139186296</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0.08137045</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0.117773019</w:t>
            </w:r>
          </w:p>
        </w:tc>
        <w:tc>
          <w:tcPr>
            <w:tcW w:w="1377"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0.137044968</w:t>
            </w:r>
          </w:p>
        </w:tc>
      </w:tr>
      <w:tr w:rsidR="001A1811" w:rsidRPr="00C41317" w:rsidTr="001A1811">
        <w:trPr>
          <w:trHeight w:val="271"/>
          <w:jc w:val="center"/>
        </w:trPr>
        <w:tc>
          <w:tcPr>
            <w:tcW w:w="1229"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0.08993576</w:t>
            </w:r>
          </w:p>
        </w:tc>
        <w:tc>
          <w:tcPr>
            <w:tcW w:w="1224"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0.092077088</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0.08137045</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0.08137045</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0.051391863</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0.08993576</w:t>
            </w:r>
          </w:p>
        </w:tc>
        <w:tc>
          <w:tcPr>
            <w:tcW w:w="1377"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0.13490364</w:t>
            </w:r>
          </w:p>
        </w:tc>
      </w:tr>
      <w:tr w:rsidR="001A1811" w:rsidRPr="00C41317" w:rsidTr="001A1811">
        <w:trPr>
          <w:trHeight w:val="271"/>
          <w:jc w:val="center"/>
        </w:trPr>
        <w:tc>
          <w:tcPr>
            <w:tcW w:w="1229"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0.083511777</w:t>
            </w:r>
          </w:p>
        </w:tc>
        <w:tc>
          <w:tcPr>
            <w:tcW w:w="1224"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0.085653105</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0.051391863</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0.064239829</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0.04496788</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0.083511777</w:t>
            </w:r>
          </w:p>
        </w:tc>
        <w:tc>
          <w:tcPr>
            <w:tcW w:w="1377"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0.096359743</w:t>
            </w:r>
          </w:p>
        </w:tc>
      </w:tr>
      <w:tr w:rsidR="001A1811" w:rsidRPr="00C41317" w:rsidTr="009048DD">
        <w:trPr>
          <w:trHeight w:val="119"/>
          <w:jc w:val="center"/>
        </w:trPr>
        <w:tc>
          <w:tcPr>
            <w:tcW w:w="1229"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0.062098501</w:t>
            </w:r>
          </w:p>
        </w:tc>
        <w:tc>
          <w:tcPr>
            <w:tcW w:w="1224"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0.070663812</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0.04496788</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0.053533191</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0.032119914</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0.059957173</w:t>
            </w:r>
          </w:p>
        </w:tc>
        <w:tc>
          <w:tcPr>
            <w:tcW w:w="1377"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0.049250535</w:t>
            </w:r>
          </w:p>
        </w:tc>
      </w:tr>
      <w:tr w:rsidR="001A1811" w:rsidRPr="00C41317" w:rsidTr="001A1811">
        <w:trPr>
          <w:trHeight w:val="283"/>
          <w:jc w:val="center"/>
        </w:trPr>
        <w:tc>
          <w:tcPr>
            <w:tcW w:w="1229"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0.040685225</w:t>
            </w:r>
          </w:p>
        </w:tc>
        <w:tc>
          <w:tcPr>
            <w:tcW w:w="1224"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0.042826552</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0.038543897</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0.025695931</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0.021413276</w:t>
            </w:r>
          </w:p>
        </w:tc>
        <w:tc>
          <w:tcPr>
            <w:tcW w:w="1488"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0.034261242</w:t>
            </w:r>
          </w:p>
        </w:tc>
        <w:tc>
          <w:tcPr>
            <w:tcW w:w="1377" w:type="dxa"/>
            <w:shd w:val="clear" w:color="auto" w:fill="auto"/>
            <w:noWrap/>
            <w:vAlign w:val="bottom"/>
            <w:hideMark/>
          </w:tcPr>
          <w:p w:rsidR="001A1811" w:rsidRPr="00C41317" w:rsidRDefault="001A1811" w:rsidP="001A1811">
            <w:pPr>
              <w:spacing w:before="0" w:after="0"/>
              <w:rPr>
                <w:sz w:val="18"/>
                <w:szCs w:val="18"/>
              </w:rPr>
            </w:pPr>
            <w:r w:rsidRPr="00C41317">
              <w:rPr>
                <w:sz w:val="18"/>
                <w:szCs w:val="18"/>
              </w:rPr>
              <w:t>0.021413276</w:t>
            </w:r>
          </w:p>
        </w:tc>
      </w:tr>
    </w:tbl>
    <w:p w:rsidR="001A1811" w:rsidRDefault="001A1811" w:rsidP="001A1811">
      <w:pPr>
        <w:spacing w:before="0" w:after="0"/>
        <w:rPr>
          <w:sz w:val="18"/>
          <w:szCs w:val="18"/>
          <w:lang w:eastAsia="en-IN"/>
        </w:rPr>
      </w:pPr>
    </w:p>
    <w:p w:rsidR="001A1811" w:rsidRDefault="001A1811" w:rsidP="001A1811">
      <w:pPr>
        <w:jc w:val="both"/>
        <w:rPr>
          <w:rFonts w:ascii="Palatino-Roman" w:hAnsi="Palatino-Roman" w:cs="Palatino-Roman"/>
          <w:szCs w:val="20"/>
        </w:rPr>
      </w:pPr>
      <w:r>
        <w:rPr>
          <w:rFonts w:ascii="Palatino-Roman" w:hAnsi="Palatino-Roman" w:cs="Palatino-Roman"/>
          <w:szCs w:val="20"/>
        </w:rPr>
        <w:t xml:space="preserve">              Table 3 shows Calculate the total relation </w:t>
      </w:r>
      <w:r w:rsidR="009048DD">
        <w:rPr>
          <w:rFonts w:ascii="Palatino-Roman" w:hAnsi="Palatino-Roman" w:cs="Palatino-Roman"/>
          <w:szCs w:val="20"/>
        </w:rPr>
        <w:t>matrix Interpretation</w:t>
      </w:r>
      <w:r w:rsidRPr="006C150A">
        <w:rPr>
          <w:rFonts w:ascii="Palatino-Roman" w:hAnsi="Palatino-Roman" w:cs="Palatino-Roman"/>
          <w:szCs w:val="20"/>
        </w:rPr>
        <w:t>: Here's how to interpret some of the values in the table:</w:t>
      </w:r>
      <w:r>
        <w:rPr>
          <w:rFonts w:ascii="Palatino-Roman" w:hAnsi="Palatino-Roman" w:cs="Palatino-Roman"/>
          <w:szCs w:val="20"/>
        </w:rPr>
        <w:t xml:space="preserve"> </w:t>
      </w:r>
      <w:r w:rsidRPr="006C150A">
        <w:rPr>
          <w:rFonts w:ascii="Palatino-Roman" w:hAnsi="Palatino-Roman" w:cs="Palatino-Roman"/>
          <w:szCs w:val="20"/>
        </w:rPr>
        <w:t xml:space="preserve">The value in </w:t>
      </w:r>
      <w:r>
        <w:rPr>
          <w:rFonts w:ascii="Palatino-Roman" w:hAnsi="Palatino-Roman" w:cs="Palatino-Roman"/>
          <w:szCs w:val="20"/>
        </w:rPr>
        <w:t>the cell at the intersection of</w:t>
      </w:r>
      <w:r w:rsidRPr="006C150A">
        <w:rPr>
          <w:rFonts w:ascii="Palatino-Roman" w:hAnsi="Palatino-Roman" w:cs="Palatino-Roman"/>
          <w:szCs w:val="20"/>
        </w:rPr>
        <w:t xml:space="preserve"> “Insomnia" and "Insomnia" is 0.147751606, which is essentially the same as the direct relationship value in TABLE 2 (0.147752), indicating that the total relationship remains relatively consistent.</w:t>
      </w:r>
      <w:r>
        <w:rPr>
          <w:rFonts w:ascii="Palatino-Roman" w:hAnsi="Palatino-Roman" w:cs="Palatino-Roman"/>
          <w:szCs w:val="20"/>
        </w:rPr>
        <w:t xml:space="preserve"> </w:t>
      </w:r>
      <w:r w:rsidRPr="006C150A">
        <w:rPr>
          <w:rFonts w:ascii="Palatino-Roman" w:hAnsi="Palatino-Roman" w:cs="Palatino-Roman"/>
          <w:szCs w:val="20"/>
        </w:rPr>
        <w:t>The value in the cell at the intersection of "Insomnia" and "SDB" is 0.139186296, reflecting the cumulative relationship between Insomnia and SDB, taking into account their direct relationship and any indirect relationships through other entities.</w:t>
      </w:r>
      <w:r>
        <w:rPr>
          <w:rFonts w:ascii="Palatino-Roman" w:hAnsi="Palatino-Roman" w:cs="Palatino-Roman"/>
          <w:szCs w:val="20"/>
        </w:rPr>
        <w:t xml:space="preserve"> </w:t>
      </w:r>
      <w:r w:rsidRPr="006C150A">
        <w:rPr>
          <w:rFonts w:ascii="Palatino-Roman" w:hAnsi="Palatino-Roman" w:cs="Palatino-Roman"/>
          <w:szCs w:val="20"/>
        </w:rPr>
        <w:t>The value in the cell at the intersection of "ESD" and "NGH" is 0.051391863, representing the total relationship between ESD and NGH, including any indirect relationships through other entities.</w:t>
      </w:r>
      <w:r>
        <w:rPr>
          <w:rFonts w:ascii="Palatino-Roman" w:hAnsi="Palatino-Roman" w:cs="Palatino-Roman"/>
          <w:szCs w:val="20"/>
        </w:rPr>
        <w:t xml:space="preserve"> </w:t>
      </w:r>
      <w:r w:rsidRPr="006C150A">
        <w:rPr>
          <w:rFonts w:ascii="Palatino-Roman" w:hAnsi="Palatino-Roman" w:cs="Palatino-Roman"/>
          <w:szCs w:val="20"/>
        </w:rPr>
        <w:t xml:space="preserve">Calculation Method: The values in the Total Relation Matrix are </w:t>
      </w:r>
      <w:r w:rsidRPr="006C150A">
        <w:rPr>
          <w:rFonts w:ascii="Palatino-Roman" w:hAnsi="Palatino-Roman" w:cs="Palatino-Roman"/>
          <w:szCs w:val="20"/>
        </w:rPr>
        <w:lastRenderedPageBreak/>
        <w:t>typically calculated by aggregating the direct relationships in the normalized matrix (TABLE 2) using a specific mathematical formula or method. The exact method used for these calculations is not provided in the table.</w:t>
      </w:r>
    </w:p>
    <w:p w:rsidR="001A1811" w:rsidRDefault="001A1811" w:rsidP="001A1811">
      <w:pPr>
        <w:jc w:val="both"/>
        <w:rPr>
          <w:rFonts w:ascii="Palatino-Roman" w:hAnsi="Palatino-Roman" w:cs="Palatino-Roman"/>
          <w:szCs w:val="20"/>
        </w:rPr>
      </w:pPr>
    </w:p>
    <w:p w:rsidR="001A1811" w:rsidRPr="006C150A" w:rsidRDefault="001A1811" w:rsidP="001A1811">
      <w:pPr>
        <w:rPr>
          <w:rFonts w:ascii="Palatino-Roman" w:hAnsi="Palatino-Roman" w:cs="Palatino-Roman"/>
          <w:szCs w:val="20"/>
        </w:rPr>
      </w:pPr>
      <w:r>
        <w:rPr>
          <w:rFonts w:ascii="Palatino-Roman" w:hAnsi="Palatino-Roman" w:cs="Palatino-Roman"/>
          <w:szCs w:val="20"/>
        </w:rPr>
        <w:t xml:space="preserve">   </w:t>
      </w:r>
      <w:r w:rsidRPr="006C150A">
        <w:rPr>
          <w:rFonts w:ascii="Palatino-Roman" w:hAnsi="Palatino-Roman" w:cs="Palatino-Roman"/>
          <w:noProof/>
          <w:szCs w:val="20"/>
        </w:rPr>
        <w:drawing>
          <wp:inline distT="0" distB="0" distL="0" distR="0">
            <wp:extent cx="4572000" cy="2743200"/>
            <wp:effectExtent l="1905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1811" w:rsidRDefault="001A1811" w:rsidP="001A1811">
      <w:pPr>
        <w:rPr>
          <w:sz w:val="18"/>
          <w:szCs w:val="18"/>
          <w:lang w:eastAsia="en-IN"/>
        </w:rPr>
      </w:pPr>
      <w:r>
        <w:rPr>
          <w:rFonts w:ascii="Palatino-Roman" w:hAnsi="Palatino-Roman" w:cs="Palatino-Roman"/>
          <w:sz w:val="16"/>
          <w:szCs w:val="20"/>
        </w:rPr>
        <w:t xml:space="preserve">  </w:t>
      </w:r>
      <w:r w:rsidRPr="00F25FE0">
        <w:rPr>
          <w:b/>
          <w:szCs w:val="20"/>
        </w:rPr>
        <w:t xml:space="preserve">FIGURE </w:t>
      </w:r>
      <w:r>
        <w:rPr>
          <w:b/>
          <w:szCs w:val="20"/>
        </w:rPr>
        <w:t>2.</w:t>
      </w:r>
      <w:r w:rsidRPr="006C150A">
        <w:rPr>
          <w:sz w:val="18"/>
          <w:szCs w:val="18"/>
        </w:rPr>
        <w:t>Calculate</w:t>
      </w:r>
      <w:r w:rsidRPr="006C150A">
        <w:rPr>
          <w:sz w:val="18"/>
          <w:szCs w:val="18"/>
          <w:lang w:eastAsia="en-IN"/>
        </w:rPr>
        <w:t xml:space="preserve"> the Total Relation Matrix</w:t>
      </w:r>
      <w:r>
        <w:rPr>
          <w:sz w:val="18"/>
          <w:szCs w:val="18"/>
          <w:lang w:eastAsia="en-IN"/>
        </w:rPr>
        <w:t xml:space="preserve">   </w:t>
      </w:r>
    </w:p>
    <w:p w:rsidR="001A1811" w:rsidRDefault="001A1811" w:rsidP="001A1811">
      <w:pPr>
        <w:rPr>
          <w:sz w:val="18"/>
          <w:szCs w:val="18"/>
          <w:lang w:eastAsia="en-IN"/>
        </w:rPr>
      </w:pPr>
      <w:r>
        <w:rPr>
          <w:sz w:val="18"/>
          <w:szCs w:val="18"/>
          <w:lang w:eastAsia="en-IN"/>
        </w:rPr>
        <w:t xml:space="preserve"> </w:t>
      </w:r>
      <w:r>
        <w:rPr>
          <w:rFonts w:ascii="Palatino-Roman" w:hAnsi="Palatino-Roman" w:cs="Palatino-Roman"/>
          <w:sz w:val="16"/>
          <w:szCs w:val="20"/>
        </w:rPr>
        <w:t xml:space="preserve">  </w:t>
      </w:r>
      <w:r>
        <w:rPr>
          <w:szCs w:val="20"/>
        </w:rPr>
        <w:t xml:space="preserve">Figure 2 illustrate the graphical representation of </w:t>
      </w:r>
      <w:r w:rsidRPr="006C150A">
        <w:rPr>
          <w:sz w:val="18"/>
          <w:szCs w:val="18"/>
        </w:rPr>
        <w:t>Calculate</w:t>
      </w:r>
      <w:r w:rsidRPr="006C150A">
        <w:rPr>
          <w:sz w:val="18"/>
          <w:szCs w:val="18"/>
          <w:lang w:eastAsia="en-IN"/>
        </w:rPr>
        <w:t xml:space="preserve"> the Total Relation Matrix</w:t>
      </w:r>
      <w:r>
        <w:rPr>
          <w:sz w:val="18"/>
          <w:szCs w:val="18"/>
          <w:lang w:eastAsia="en-IN"/>
        </w:rPr>
        <w:t xml:space="preserve">   </w:t>
      </w:r>
    </w:p>
    <w:p w:rsidR="001A1811" w:rsidRDefault="001A1811" w:rsidP="001A1811">
      <w:pPr>
        <w:rPr>
          <w:szCs w:val="20"/>
        </w:rPr>
      </w:pPr>
      <w:r>
        <w:rPr>
          <w:sz w:val="18"/>
          <w:szCs w:val="18"/>
          <w:lang w:eastAsia="en-IN"/>
        </w:rPr>
        <w:t xml:space="preserve"> </w:t>
      </w:r>
      <w:r>
        <w:rPr>
          <w:b/>
          <w:szCs w:val="20"/>
        </w:rPr>
        <w:t xml:space="preserve"> </w:t>
      </w:r>
      <w:r w:rsidRPr="00DC3BCC">
        <w:rPr>
          <w:b/>
          <w:szCs w:val="20"/>
        </w:rPr>
        <w:t>TABLE 4.</w:t>
      </w:r>
      <w:r w:rsidRPr="00DC3BCC">
        <w:rPr>
          <w:szCs w:val="20"/>
        </w:rPr>
        <w:t>T= Y(I-Y)-1, I= Identity matrix</w:t>
      </w:r>
    </w:p>
    <w:tbl>
      <w:tblPr>
        <w:tblW w:w="8446"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1241"/>
        <w:gridCol w:w="1508"/>
        <w:gridCol w:w="1508"/>
        <w:gridCol w:w="1508"/>
        <w:gridCol w:w="1508"/>
        <w:gridCol w:w="1377"/>
      </w:tblGrid>
      <w:tr w:rsidR="001A1811" w:rsidRPr="006C150A" w:rsidTr="009048DD">
        <w:trPr>
          <w:trHeight w:val="283"/>
          <w:jc w:val="center"/>
        </w:trPr>
        <w:tc>
          <w:tcPr>
            <w:tcW w:w="937" w:type="dxa"/>
            <w:shd w:val="clear" w:color="auto" w:fill="auto"/>
            <w:noWrap/>
            <w:vAlign w:val="bottom"/>
            <w:hideMark/>
          </w:tcPr>
          <w:p w:rsidR="001A1811" w:rsidRPr="006C150A" w:rsidRDefault="001A1811" w:rsidP="001A1811">
            <w:pPr>
              <w:spacing w:before="0" w:after="0"/>
              <w:rPr>
                <w:b/>
                <w:sz w:val="18"/>
                <w:szCs w:val="18"/>
              </w:rPr>
            </w:pPr>
            <w:r w:rsidRPr="006C150A">
              <w:rPr>
                <w:b/>
                <w:sz w:val="18"/>
                <w:szCs w:val="18"/>
              </w:rPr>
              <w:t>Insomnia</w:t>
            </w:r>
          </w:p>
        </w:tc>
        <w:tc>
          <w:tcPr>
            <w:tcW w:w="1241" w:type="dxa"/>
            <w:shd w:val="clear" w:color="auto" w:fill="auto"/>
            <w:noWrap/>
            <w:vAlign w:val="bottom"/>
            <w:hideMark/>
          </w:tcPr>
          <w:p w:rsidR="001A1811" w:rsidRPr="006C150A" w:rsidRDefault="001A1811" w:rsidP="001A1811">
            <w:pPr>
              <w:spacing w:before="0" w:after="0"/>
              <w:rPr>
                <w:b/>
                <w:sz w:val="18"/>
                <w:szCs w:val="18"/>
              </w:rPr>
            </w:pPr>
            <w:r w:rsidRPr="006C150A">
              <w:rPr>
                <w:b/>
                <w:sz w:val="18"/>
                <w:szCs w:val="18"/>
              </w:rPr>
              <w:t>SDB</w:t>
            </w:r>
          </w:p>
        </w:tc>
        <w:tc>
          <w:tcPr>
            <w:tcW w:w="1508" w:type="dxa"/>
            <w:shd w:val="clear" w:color="auto" w:fill="auto"/>
            <w:noWrap/>
            <w:vAlign w:val="bottom"/>
            <w:hideMark/>
          </w:tcPr>
          <w:p w:rsidR="001A1811" w:rsidRPr="006C150A" w:rsidRDefault="001A1811" w:rsidP="001A1811">
            <w:pPr>
              <w:spacing w:before="0" w:after="0"/>
              <w:rPr>
                <w:b/>
                <w:sz w:val="18"/>
                <w:szCs w:val="18"/>
              </w:rPr>
            </w:pPr>
            <w:r w:rsidRPr="006C150A">
              <w:rPr>
                <w:b/>
                <w:sz w:val="18"/>
                <w:szCs w:val="18"/>
              </w:rPr>
              <w:t>RLS</w:t>
            </w:r>
          </w:p>
        </w:tc>
        <w:tc>
          <w:tcPr>
            <w:tcW w:w="1508" w:type="dxa"/>
            <w:shd w:val="clear" w:color="auto" w:fill="auto"/>
            <w:noWrap/>
            <w:vAlign w:val="bottom"/>
            <w:hideMark/>
          </w:tcPr>
          <w:p w:rsidR="001A1811" w:rsidRPr="006C150A" w:rsidRDefault="001A1811" w:rsidP="001A1811">
            <w:pPr>
              <w:spacing w:before="0" w:after="0"/>
              <w:rPr>
                <w:b/>
                <w:sz w:val="18"/>
                <w:szCs w:val="18"/>
              </w:rPr>
            </w:pPr>
            <w:r w:rsidRPr="006C150A">
              <w:rPr>
                <w:b/>
                <w:sz w:val="18"/>
                <w:szCs w:val="18"/>
              </w:rPr>
              <w:t>ESD</w:t>
            </w:r>
          </w:p>
        </w:tc>
        <w:tc>
          <w:tcPr>
            <w:tcW w:w="1508" w:type="dxa"/>
            <w:shd w:val="clear" w:color="auto" w:fill="auto"/>
            <w:noWrap/>
            <w:vAlign w:val="bottom"/>
            <w:hideMark/>
          </w:tcPr>
          <w:p w:rsidR="001A1811" w:rsidRPr="006C150A" w:rsidRDefault="001A1811" w:rsidP="001A1811">
            <w:pPr>
              <w:spacing w:before="0" w:after="0"/>
              <w:rPr>
                <w:b/>
                <w:sz w:val="18"/>
                <w:szCs w:val="18"/>
              </w:rPr>
            </w:pPr>
            <w:r w:rsidRPr="006C150A">
              <w:rPr>
                <w:b/>
                <w:sz w:val="18"/>
                <w:szCs w:val="18"/>
              </w:rPr>
              <w:t>NGH</w:t>
            </w:r>
          </w:p>
        </w:tc>
        <w:tc>
          <w:tcPr>
            <w:tcW w:w="1508" w:type="dxa"/>
            <w:shd w:val="clear" w:color="auto" w:fill="auto"/>
            <w:noWrap/>
            <w:vAlign w:val="bottom"/>
            <w:hideMark/>
          </w:tcPr>
          <w:p w:rsidR="001A1811" w:rsidRPr="006C150A" w:rsidRDefault="001A1811" w:rsidP="001A1811">
            <w:pPr>
              <w:spacing w:before="0" w:after="0"/>
              <w:rPr>
                <w:b/>
                <w:sz w:val="18"/>
                <w:szCs w:val="18"/>
              </w:rPr>
            </w:pPr>
            <w:r w:rsidRPr="006C150A">
              <w:rPr>
                <w:b/>
                <w:sz w:val="18"/>
                <w:szCs w:val="18"/>
              </w:rPr>
              <w:t>Hypersomnia</w:t>
            </w:r>
          </w:p>
        </w:tc>
        <w:tc>
          <w:tcPr>
            <w:tcW w:w="236" w:type="dxa"/>
            <w:shd w:val="clear" w:color="auto" w:fill="auto"/>
            <w:noWrap/>
            <w:vAlign w:val="bottom"/>
            <w:hideMark/>
          </w:tcPr>
          <w:p w:rsidR="001A1811" w:rsidRPr="006C150A" w:rsidRDefault="001A1811" w:rsidP="001A1811">
            <w:pPr>
              <w:spacing w:before="0" w:after="0"/>
              <w:rPr>
                <w:b/>
                <w:sz w:val="18"/>
                <w:szCs w:val="18"/>
              </w:rPr>
            </w:pPr>
            <w:r w:rsidRPr="006C150A">
              <w:rPr>
                <w:b/>
                <w:sz w:val="18"/>
                <w:szCs w:val="18"/>
              </w:rPr>
              <w:t>Environmental Factors</w:t>
            </w:r>
          </w:p>
        </w:tc>
      </w:tr>
      <w:tr w:rsidR="001A1811" w:rsidRPr="006C150A" w:rsidTr="009048DD">
        <w:trPr>
          <w:trHeight w:val="262"/>
          <w:jc w:val="center"/>
        </w:trPr>
        <w:tc>
          <w:tcPr>
            <w:tcW w:w="937"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1</w:t>
            </w:r>
          </w:p>
        </w:tc>
        <w:tc>
          <w:tcPr>
            <w:tcW w:w="1241"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236"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r>
      <w:tr w:rsidR="001A1811" w:rsidRPr="006C150A" w:rsidTr="009048DD">
        <w:trPr>
          <w:trHeight w:val="262"/>
          <w:jc w:val="center"/>
        </w:trPr>
        <w:tc>
          <w:tcPr>
            <w:tcW w:w="937"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241"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1</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236"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r>
      <w:tr w:rsidR="001A1811" w:rsidRPr="006C150A" w:rsidTr="009048DD">
        <w:trPr>
          <w:trHeight w:val="262"/>
          <w:jc w:val="center"/>
        </w:trPr>
        <w:tc>
          <w:tcPr>
            <w:tcW w:w="937"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241"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1</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236"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r>
      <w:tr w:rsidR="001A1811" w:rsidRPr="006C150A" w:rsidTr="009048DD">
        <w:trPr>
          <w:trHeight w:val="262"/>
          <w:jc w:val="center"/>
        </w:trPr>
        <w:tc>
          <w:tcPr>
            <w:tcW w:w="937"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241"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1</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236"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1</w:t>
            </w:r>
          </w:p>
        </w:tc>
      </w:tr>
      <w:tr w:rsidR="001A1811" w:rsidRPr="006C150A" w:rsidTr="009048DD">
        <w:trPr>
          <w:trHeight w:val="262"/>
          <w:jc w:val="center"/>
        </w:trPr>
        <w:tc>
          <w:tcPr>
            <w:tcW w:w="937"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241"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1</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236"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r>
      <w:tr w:rsidR="001A1811" w:rsidRPr="006C150A" w:rsidTr="009048DD">
        <w:trPr>
          <w:trHeight w:val="272"/>
          <w:jc w:val="center"/>
        </w:trPr>
        <w:tc>
          <w:tcPr>
            <w:tcW w:w="937"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241"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1</w:t>
            </w:r>
          </w:p>
        </w:tc>
        <w:tc>
          <w:tcPr>
            <w:tcW w:w="236"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r>
      <w:tr w:rsidR="001A1811" w:rsidRPr="006C150A" w:rsidTr="009048DD">
        <w:trPr>
          <w:trHeight w:val="272"/>
          <w:jc w:val="center"/>
        </w:trPr>
        <w:tc>
          <w:tcPr>
            <w:tcW w:w="937"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241"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1508"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0</w:t>
            </w:r>
          </w:p>
        </w:tc>
        <w:tc>
          <w:tcPr>
            <w:tcW w:w="236" w:type="dxa"/>
            <w:shd w:val="clear" w:color="auto" w:fill="auto"/>
            <w:noWrap/>
            <w:vAlign w:val="bottom"/>
            <w:hideMark/>
          </w:tcPr>
          <w:p w:rsidR="001A1811" w:rsidRPr="006C150A" w:rsidRDefault="001A1811" w:rsidP="001A1811">
            <w:pPr>
              <w:spacing w:before="0" w:after="0"/>
              <w:rPr>
                <w:rFonts w:ascii="Calibri" w:hAnsi="Calibri" w:cs="Calibri"/>
                <w:sz w:val="18"/>
                <w:szCs w:val="18"/>
              </w:rPr>
            </w:pPr>
            <w:r w:rsidRPr="006C150A">
              <w:rPr>
                <w:rFonts w:ascii="Calibri" w:hAnsi="Calibri" w:cs="Calibri"/>
                <w:sz w:val="18"/>
                <w:szCs w:val="18"/>
              </w:rPr>
              <w:t>1</w:t>
            </w:r>
          </w:p>
        </w:tc>
      </w:tr>
    </w:tbl>
    <w:p w:rsidR="001A1811" w:rsidRPr="006C150A" w:rsidRDefault="001A1811" w:rsidP="001A1811">
      <w:pPr>
        <w:spacing w:before="0" w:after="0"/>
        <w:rPr>
          <w:sz w:val="18"/>
          <w:szCs w:val="18"/>
        </w:rPr>
      </w:pPr>
    </w:p>
    <w:p w:rsidR="001A1811" w:rsidRPr="00507E10" w:rsidRDefault="001A1811" w:rsidP="001A1811">
      <w:pPr>
        <w:ind w:firstLine="284"/>
        <w:jc w:val="both"/>
        <w:rPr>
          <w:szCs w:val="20"/>
          <w:lang w:eastAsia="en-IN"/>
        </w:rPr>
      </w:pPr>
      <w:r>
        <w:rPr>
          <w:szCs w:val="20"/>
        </w:rPr>
        <w:t xml:space="preserve">     </w:t>
      </w:r>
      <w:r w:rsidRPr="00507E10">
        <w:rPr>
          <w:szCs w:val="20"/>
        </w:rPr>
        <w:t>Table 4 Shows the T= Y(I-Y)-1, I= Identity matrix</w:t>
      </w:r>
      <w:r w:rsidRPr="00507E10">
        <w:rPr>
          <w:szCs w:val="20"/>
          <w:lang w:eastAsia="en-IN"/>
        </w:rPr>
        <w:t xml:space="preserve"> in</w:t>
      </w:r>
      <w:r w:rsidRPr="00507E10">
        <w:rPr>
          <w:szCs w:val="20"/>
        </w:rPr>
        <w:t xml:space="preserve"> Insomnia, SDB, RLS, ESD, NGH, Hypersomnia, Environmental Factors is </w:t>
      </w:r>
      <w:r w:rsidRPr="00507E10">
        <w:rPr>
          <w:szCs w:val="20"/>
          <w:lang w:eastAsia="en-IN"/>
        </w:rPr>
        <w:t xml:space="preserve">common Value. </w:t>
      </w:r>
    </w:p>
    <w:p w:rsidR="001A1811" w:rsidRDefault="001A1811" w:rsidP="001A1811">
      <w:pPr>
        <w:rPr>
          <w:bCs/>
          <w:szCs w:val="20"/>
        </w:rPr>
      </w:pPr>
      <w:r>
        <w:rPr>
          <w:szCs w:val="20"/>
        </w:rPr>
        <w:t xml:space="preserve">  </w:t>
      </w:r>
      <w:r w:rsidRPr="00DC3BCC">
        <w:rPr>
          <w:b/>
          <w:szCs w:val="20"/>
        </w:rPr>
        <w:t>TABLE 5.</w:t>
      </w:r>
      <w:r w:rsidRPr="00DC3BCC">
        <w:rPr>
          <w:bCs/>
          <w:szCs w:val="20"/>
        </w:rPr>
        <w:t>Y Value</w:t>
      </w:r>
    </w:p>
    <w:tbl>
      <w:tblPr>
        <w:tblW w:w="7434"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960"/>
        <w:gridCol w:w="960"/>
        <w:gridCol w:w="960"/>
        <w:gridCol w:w="1257"/>
        <w:gridCol w:w="1377"/>
      </w:tblGrid>
      <w:tr w:rsidR="001A1811" w:rsidRPr="000A02EE" w:rsidTr="001A1811">
        <w:trPr>
          <w:trHeight w:val="312"/>
          <w:jc w:val="center"/>
        </w:trPr>
        <w:tc>
          <w:tcPr>
            <w:tcW w:w="960" w:type="dxa"/>
            <w:shd w:val="clear" w:color="auto" w:fill="auto"/>
            <w:noWrap/>
            <w:vAlign w:val="bottom"/>
            <w:hideMark/>
          </w:tcPr>
          <w:p w:rsidR="001A1811" w:rsidRPr="000A02EE" w:rsidRDefault="001A1811" w:rsidP="001A1811">
            <w:pPr>
              <w:spacing w:before="0" w:after="0"/>
              <w:jc w:val="left"/>
              <w:rPr>
                <w:b/>
                <w:sz w:val="18"/>
                <w:szCs w:val="18"/>
              </w:rPr>
            </w:pPr>
            <w:r>
              <w:rPr>
                <w:bCs/>
                <w:szCs w:val="20"/>
              </w:rPr>
              <w:t xml:space="preserve"> </w:t>
            </w:r>
            <w:r w:rsidRPr="000A02EE">
              <w:rPr>
                <w:b/>
                <w:sz w:val="18"/>
                <w:szCs w:val="18"/>
              </w:rPr>
              <w:t>Insomnia</w:t>
            </w:r>
          </w:p>
        </w:tc>
        <w:tc>
          <w:tcPr>
            <w:tcW w:w="960" w:type="dxa"/>
            <w:shd w:val="clear" w:color="auto" w:fill="auto"/>
            <w:noWrap/>
            <w:vAlign w:val="bottom"/>
            <w:hideMark/>
          </w:tcPr>
          <w:p w:rsidR="001A1811" w:rsidRPr="000A02EE" w:rsidRDefault="001A1811" w:rsidP="001A1811">
            <w:pPr>
              <w:spacing w:before="0" w:after="0"/>
              <w:jc w:val="left"/>
              <w:rPr>
                <w:b/>
                <w:sz w:val="18"/>
                <w:szCs w:val="18"/>
              </w:rPr>
            </w:pPr>
            <w:r w:rsidRPr="000A02EE">
              <w:rPr>
                <w:b/>
                <w:sz w:val="18"/>
                <w:szCs w:val="18"/>
              </w:rPr>
              <w:t>SDB</w:t>
            </w:r>
          </w:p>
        </w:tc>
        <w:tc>
          <w:tcPr>
            <w:tcW w:w="960" w:type="dxa"/>
            <w:shd w:val="clear" w:color="auto" w:fill="auto"/>
            <w:noWrap/>
            <w:vAlign w:val="bottom"/>
            <w:hideMark/>
          </w:tcPr>
          <w:p w:rsidR="001A1811" w:rsidRPr="000A02EE" w:rsidRDefault="001A1811" w:rsidP="001A1811">
            <w:pPr>
              <w:spacing w:before="0" w:after="0"/>
              <w:jc w:val="left"/>
              <w:rPr>
                <w:b/>
                <w:sz w:val="18"/>
                <w:szCs w:val="18"/>
              </w:rPr>
            </w:pPr>
            <w:r w:rsidRPr="000A02EE">
              <w:rPr>
                <w:b/>
                <w:sz w:val="18"/>
                <w:szCs w:val="18"/>
              </w:rPr>
              <w:t>RLS</w:t>
            </w:r>
          </w:p>
        </w:tc>
        <w:tc>
          <w:tcPr>
            <w:tcW w:w="960" w:type="dxa"/>
            <w:shd w:val="clear" w:color="auto" w:fill="auto"/>
            <w:noWrap/>
            <w:vAlign w:val="bottom"/>
            <w:hideMark/>
          </w:tcPr>
          <w:p w:rsidR="001A1811" w:rsidRPr="000A02EE" w:rsidRDefault="001A1811" w:rsidP="001A1811">
            <w:pPr>
              <w:spacing w:before="0" w:after="0"/>
              <w:jc w:val="left"/>
              <w:rPr>
                <w:b/>
                <w:sz w:val="18"/>
                <w:szCs w:val="18"/>
              </w:rPr>
            </w:pPr>
            <w:r w:rsidRPr="000A02EE">
              <w:rPr>
                <w:b/>
                <w:sz w:val="18"/>
                <w:szCs w:val="18"/>
              </w:rPr>
              <w:t>ESD</w:t>
            </w:r>
          </w:p>
        </w:tc>
        <w:tc>
          <w:tcPr>
            <w:tcW w:w="960" w:type="dxa"/>
            <w:shd w:val="clear" w:color="auto" w:fill="auto"/>
            <w:noWrap/>
            <w:vAlign w:val="bottom"/>
            <w:hideMark/>
          </w:tcPr>
          <w:p w:rsidR="001A1811" w:rsidRPr="000A02EE" w:rsidRDefault="001A1811" w:rsidP="001A1811">
            <w:pPr>
              <w:spacing w:before="0" w:after="0"/>
              <w:jc w:val="left"/>
              <w:rPr>
                <w:b/>
                <w:sz w:val="18"/>
                <w:szCs w:val="18"/>
              </w:rPr>
            </w:pPr>
            <w:r w:rsidRPr="000A02EE">
              <w:rPr>
                <w:b/>
                <w:sz w:val="18"/>
                <w:szCs w:val="18"/>
              </w:rPr>
              <w:t>NGH</w:t>
            </w:r>
          </w:p>
        </w:tc>
        <w:tc>
          <w:tcPr>
            <w:tcW w:w="1257" w:type="dxa"/>
            <w:shd w:val="clear" w:color="auto" w:fill="auto"/>
            <w:noWrap/>
            <w:vAlign w:val="bottom"/>
            <w:hideMark/>
          </w:tcPr>
          <w:p w:rsidR="001A1811" w:rsidRPr="000A02EE" w:rsidRDefault="001A1811" w:rsidP="001A1811">
            <w:pPr>
              <w:spacing w:before="0" w:after="0"/>
              <w:jc w:val="left"/>
              <w:rPr>
                <w:b/>
                <w:sz w:val="18"/>
                <w:szCs w:val="18"/>
              </w:rPr>
            </w:pPr>
            <w:r w:rsidRPr="000A02EE">
              <w:rPr>
                <w:b/>
                <w:sz w:val="18"/>
                <w:szCs w:val="18"/>
              </w:rPr>
              <w:t>Hypersomnia</w:t>
            </w:r>
          </w:p>
        </w:tc>
        <w:tc>
          <w:tcPr>
            <w:tcW w:w="1377" w:type="dxa"/>
            <w:shd w:val="clear" w:color="auto" w:fill="auto"/>
            <w:noWrap/>
            <w:vAlign w:val="bottom"/>
            <w:hideMark/>
          </w:tcPr>
          <w:p w:rsidR="001A1811" w:rsidRPr="000A02EE" w:rsidRDefault="001A1811" w:rsidP="001A1811">
            <w:pPr>
              <w:spacing w:before="0" w:after="0"/>
              <w:jc w:val="left"/>
              <w:rPr>
                <w:b/>
                <w:sz w:val="18"/>
                <w:szCs w:val="18"/>
              </w:rPr>
            </w:pPr>
            <w:r w:rsidRPr="000A02EE">
              <w:rPr>
                <w:b/>
                <w:sz w:val="18"/>
                <w:szCs w:val="18"/>
              </w:rPr>
              <w:t>Environmental Factors</w:t>
            </w:r>
          </w:p>
        </w:tc>
      </w:tr>
      <w:tr w:rsidR="001A1811" w:rsidRPr="000A02EE" w:rsidTr="001A1811">
        <w:trPr>
          <w:trHeight w:val="288"/>
          <w:jc w:val="center"/>
        </w:trPr>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0.147752</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0.139186</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0.09636</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0.214133</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0.107066</w:t>
            </w:r>
          </w:p>
        </w:tc>
        <w:tc>
          <w:tcPr>
            <w:tcW w:w="1257"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0.158458</w:t>
            </w:r>
          </w:p>
        </w:tc>
        <w:tc>
          <w:tcPr>
            <w:tcW w:w="1377"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0.137045</w:t>
            </w:r>
          </w:p>
        </w:tc>
      </w:tr>
      <w:tr w:rsidR="001A1811" w:rsidRPr="000A02EE" w:rsidTr="001A1811">
        <w:trPr>
          <w:trHeight w:val="288"/>
          <w:jc w:val="center"/>
        </w:trPr>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0.141328</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0.137045</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0.089936</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0.20985</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0.094218</w:t>
            </w:r>
          </w:p>
        </w:tc>
        <w:tc>
          <w:tcPr>
            <w:tcW w:w="1257"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0.12848</w:t>
            </w:r>
          </w:p>
        </w:tc>
        <w:tc>
          <w:tcPr>
            <w:tcW w:w="1377"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0.149893</w:t>
            </w:r>
          </w:p>
        </w:tc>
      </w:tr>
      <w:tr w:rsidR="001A1811" w:rsidRPr="000A02EE" w:rsidTr="001A1811">
        <w:trPr>
          <w:trHeight w:val="288"/>
          <w:jc w:val="center"/>
        </w:trPr>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0.134904</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0.141328</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0.070664</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0.139186</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0.08137</w:t>
            </w:r>
          </w:p>
        </w:tc>
        <w:tc>
          <w:tcPr>
            <w:tcW w:w="1257"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0.117773</w:t>
            </w:r>
          </w:p>
        </w:tc>
        <w:tc>
          <w:tcPr>
            <w:tcW w:w="1377"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0.137045</w:t>
            </w:r>
          </w:p>
        </w:tc>
      </w:tr>
      <w:tr w:rsidR="001A1811" w:rsidRPr="000A02EE" w:rsidTr="001A1811">
        <w:trPr>
          <w:trHeight w:val="288"/>
          <w:jc w:val="center"/>
        </w:trPr>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0.089936</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0.092077</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0.08137</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0.08137</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0.051392</w:t>
            </w:r>
          </w:p>
        </w:tc>
        <w:tc>
          <w:tcPr>
            <w:tcW w:w="1257"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0.089936</w:t>
            </w:r>
          </w:p>
        </w:tc>
        <w:tc>
          <w:tcPr>
            <w:tcW w:w="1377"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0.134904</w:t>
            </w:r>
          </w:p>
        </w:tc>
      </w:tr>
      <w:tr w:rsidR="001A1811" w:rsidRPr="000A02EE" w:rsidTr="001A1811">
        <w:trPr>
          <w:trHeight w:val="288"/>
          <w:jc w:val="center"/>
        </w:trPr>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0.083512</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0.085653</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0.051392</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0.06424</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0.044968</w:t>
            </w:r>
          </w:p>
        </w:tc>
        <w:tc>
          <w:tcPr>
            <w:tcW w:w="1257"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0.083512</w:t>
            </w:r>
          </w:p>
        </w:tc>
        <w:tc>
          <w:tcPr>
            <w:tcW w:w="1377"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0.09636</w:t>
            </w:r>
          </w:p>
        </w:tc>
      </w:tr>
      <w:tr w:rsidR="001A1811" w:rsidRPr="000A02EE" w:rsidTr="001A1811">
        <w:trPr>
          <w:trHeight w:val="300"/>
          <w:jc w:val="center"/>
        </w:trPr>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0.062099</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0.070664</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0.044968</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0.053533</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0.03212</w:t>
            </w:r>
          </w:p>
        </w:tc>
        <w:tc>
          <w:tcPr>
            <w:tcW w:w="1257"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0.059957</w:t>
            </w:r>
          </w:p>
        </w:tc>
        <w:tc>
          <w:tcPr>
            <w:tcW w:w="1377"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0.049251</w:t>
            </w:r>
          </w:p>
        </w:tc>
      </w:tr>
      <w:tr w:rsidR="001A1811" w:rsidRPr="000A02EE" w:rsidTr="001A1811">
        <w:trPr>
          <w:trHeight w:val="300"/>
          <w:jc w:val="center"/>
        </w:trPr>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0.040685</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0.042827</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0.038544</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0.025696</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0.021413</w:t>
            </w:r>
          </w:p>
        </w:tc>
        <w:tc>
          <w:tcPr>
            <w:tcW w:w="1257"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0.034261</w:t>
            </w:r>
          </w:p>
        </w:tc>
        <w:tc>
          <w:tcPr>
            <w:tcW w:w="1377"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0.021413</w:t>
            </w:r>
          </w:p>
        </w:tc>
      </w:tr>
    </w:tbl>
    <w:p w:rsidR="001A1811" w:rsidRDefault="001A1811" w:rsidP="001A1811">
      <w:pPr>
        <w:spacing w:before="0" w:after="0"/>
        <w:jc w:val="left"/>
        <w:rPr>
          <w:bCs/>
          <w:szCs w:val="20"/>
        </w:rPr>
      </w:pPr>
    </w:p>
    <w:p w:rsidR="001A1811" w:rsidRDefault="001A1811" w:rsidP="009048DD">
      <w:pPr>
        <w:jc w:val="both"/>
        <w:rPr>
          <w:b/>
          <w:szCs w:val="20"/>
        </w:rPr>
      </w:pPr>
      <w:r>
        <w:rPr>
          <w:szCs w:val="20"/>
        </w:rPr>
        <w:t>Table 5 shows the y value</w:t>
      </w:r>
      <w:r w:rsidR="009048DD">
        <w:rPr>
          <w:szCs w:val="20"/>
        </w:rPr>
        <w:t>.</w:t>
      </w:r>
    </w:p>
    <w:p w:rsidR="001A1811" w:rsidRDefault="001A1811" w:rsidP="001A1811">
      <w:pPr>
        <w:rPr>
          <w:szCs w:val="20"/>
          <w:shd w:val="clear" w:color="auto" w:fill="FFFFFF"/>
        </w:rPr>
      </w:pPr>
      <w:r>
        <w:rPr>
          <w:sz w:val="16"/>
        </w:rPr>
        <w:lastRenderedPageBreak/>
        <w:t xml:space="preserve">  </w:t>
      </w:r>
      <w:r w:rsidRPr="00DC3BCC">
        <w:rPr>
          <w:b/>
          <w:szCs w:val="20"/>
        </w:rPr>
        <w:t>TABLE 6.</w:t>
      </w:r>
      <w:r w:rsidRPr="00DC3BCC">
        <w:rPr>
          <w:szCs w:val="20"/>
          <w:shd w:val="clear" w:color="auto" w:fill="FFFFFF"/>
        </w:rPr>
        <w:t>I-Y Value</w:t>
      </w:r>
    </w:p>
    <w:tbl>
      <w:tblPr>
        <w:tblW w:w="7119"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960"/>
        <w:gridCol w:w="960"/>
        <w:gridCol w:w="960"/>
        <w:gridCol w:w="960"/>
        <w:gridCol w:w="1257"/>
        <w:gridCol w:w="1377"/>
      </w:tblGrid>
      <w:tr w:rsidR="001A1811" w:rsidRPr="000A02EE" w:rsidTr="001A1811">
        <w:trPr>
          <w:trHeight w:val="312"/>
          <w:jc w:val="center"/>
        </w:trPr>
        <w:tc>
          <w:tcPr>
            <w:tcW w:w="645" w:type="dxa"/>
            <w:shd w:val="clear" w:color="auto" w:fill="auto"/>
            <w:noWrap/>
            <w:vAlign w:val="bottom"/>
            <w:hideMark/>
          </w:tcPr>
          <w:p w:rsidR="001A1811" w:rsidRPr="000A02EE" w:rsidRDefault="001A1811" w:rsidP="001A1811">
            <w:pPr>
              <w:spacing w:before="0" w:after="0"/>
              <w:jc w:val="left"/>
              <w:rPr>
                <w:b/>
                <w:sz w:val="18"/>
                <w:szCs w:val="18"/>
              </w:rPr>
            </w:pPr>
            <w:r>
              <w:rPr>
                <w:szCs w:val="20"/>
                <w:shd w:val="clear" w:color="auto" w:fill="FFFFFF"/>
              </w:rPr>
              <w:t xml:space="preserve"> </w:t>
            </w:r>
            <w:r w:rsidRPr="000A02EE">
              <w:rPr>
                <w:b/>
                <w:sz w:val="18"/>
                <w:szCs w:val="18"/>
              </w:rPr>
              <w:t>Insomnia</w:t>
            </w:r>
          </w:p>
        </w:tc>
        <w:tc>
          <w:tcPr>
            <w:tcW w:w="960" w:type="dxa"/>
            <w:shd w:val="clear" w:color="auto" w:fill="auto"/>
            <w:noWrap/>
            <w:vAlign w:val="bottom"/>
            <w:hideMark/>
          </w:tcPr>
          <w:p w:rsidR="001A1811" w:rsidRPr="000A02EE" w:rsidRDefault="001A1811" w:rsidP="001A1811">
            <w:pPr>
              <w:spacing w:before="0" w:after="0"/>
              <w:rPr>
                <w:b/>
                <w:sz w:val="18"/>
                <w:szCs w:val="18"/>
              </w:rPr>
            </w:pPr>
            <w:r w:rsidRPr="000A02EE">
              <w:rPr>
                <w:b/>
                <w:sz w:val="18"/>
                <w:szCs w:val="18"/>
              </w:rPr>
              <w:t>SDB</w:t>
            </w:r>
          </w:p>
        </w:tc>
        <w:tc>
          <w:tcPr>
            <w:tcW w:w="960" w:type="dxa"/>
            <w:shd w:val="clear" w:color="auto" w:fill="auto"/>
            <w:noWrap/>
            <w:vAlign w:val="bottom"/>
            <w:hideMark/>
          </w:tcPr>
          <w:p w:rsidR="001A1811" w:rsidRPr="000A02EE" w:rsidRDefault="001A1811" w:rsidP="001A1811">
            <w:pPr>
              <w:spacing w:before="0" w:after="0"/>
              <w:rPr>
                <w:b/>
                <w:sz w:val="18"/>
                <w:szCs w:val="18"/>
              </w:rPr>
            </w:pPr>
            <w:r w:rsidRPr="000A02EE">
              <w:rPr>
                <w:b/>
                <w:sz w:val="18"/>
                <w:szCs w:val="18"/>
              </w:rPr>
              <w:t>RLS</w:t>
            </w:r>
          </w:p>
        </w:tc>
        <w:tc>
          <w:tcPr>
            <w:tcW w:w="960" w:type="dxa"/>
            <w:shd w:val="clear" w:color="auto" w:fill="auto"/>
            <w:noWrap/>
            <w:vAlign w:val="bottom"/>
            <w:hideMark/>
          </w:tcPr>
          <w:p w:rsidR="001A1811" w:rsidRPr="000A02EE" w:rsidRDefault="001A1811" w:rsidP="001A1811">
            <w:pPr>
              <w:spacing w:before="0" w:after="0"/>
              <w:rPr>
                <w:b/>
                <w:sz w:val="18"/>
                <w:szCs w:val="18"/>
              </w:rPr>
            </w:pPr>
            <w:r w:rsidRPr="000A02EE">
              <w:rPr>
                <w:b/>
                <w:sz w:val="18"/>
                <w:szCs w:val="18"/>
              </w:rPr>
              <w:t>ESD</w:t>
            </w:r>
          </w:p>
        </w:tc>
        <w:tc>
          <w:tcPr>
            <w:tcW w:w="960" w:type="dxa"/>
            <w:shd w:val="clear" w:color="auto" w:fill="auto"/>
            <w:noWrap/>
            <w:vAlign w:val="bottom"/>
            <w:hideMark/>
          </w:tcPr>
          <w:p w:rsidR="001A1811" w:rsidRPr="000A02EE" w:rsidRDefault="001A1811" w:rsidP="001A1811">
            <w:pPr>
              <w:spacing w:before="0" w:after="0"/>
              <w:rPr>
                <w:b/>
                <w:sz w:val="18"/>
                <w:szCs w:val="18"/>
              </w:rPr>
            </w:pPr>
            <w:r w:rsidRPr="000A02EE">
              <w:rPr>
                <w:b/>
                <w:sz w:val="18"/>
                <w:szCs w:val="18"/>
              </w:rPr>
              <w:t>NGH</w:t>
            </w:r>
          </w:p>
        </w:tc>
        <w:tc>
          <w:tcPr>
            <w:tcW w:w="1257" w:type="dxa"/>
            <w:shd w:val="clear" w:color="auto" w:fill="auto"/>
            <w:noWrap/>
            <w:vAlign w:val="bottom"/>
            <w:hideMark/>
          </w:tcPr>
          <w:p w:rsidR="001A1811" w:rsidRPr="000A02EE" w:rsidRDefault="001A1811" w:rsidP="001A1811">
            <w:pPr>
              <w:spacing w:before="0" w:after="0"/>
              <w:rPr>
                <w:b/>
                <w:sz w:val="18"/>
                <w:szCs w:val="18"/>
              </w:rPr>
            </w:pPr>
            <w:r w:rsidRPr="000A02EE">
              <w:rPr>
                <w:b/>
                <w:sz w:val="18"/>
                <w:szCs w:val="18"/>
              </w:rPr>
              <w:t>Hypersomnia</w:t>
            </w:r>
          </w:p>
        </w:tc>
        <w:tc>
          <w:tcPr>
            <w:tcW w:w="1377" w:type="dxa"/>
            <w:shd w:val="clear" w:color="auto" w:fill="auto"/>
            <w:noWrap/>
            <w:vAlign w:val="bottom"/>
            <w:hideMark/>
          </w:tcPr>
          <w:p w:rsidR="001A1811" w:rsidRPr="000A02EE" w:rsidRDefault="001A1811" w:rsidP="001A1811">
            <w:pPr>
              <w:spacing w:before="0" w:after="0"/>
              <w:rPr>
                <w:b/>
                <w:sz w:val="18"/>
                <w:szCs w:val="18"/>
              </w:rPr>
            </w:pPr>
            <w:r w:rsidRPr="000A02EE">
              <w:rPr>
                <w:b/>
                <w:sz w:val="18"/>
                <w:szCs w:val="18"/>
              </w:rPr>
              <w:t>Environmental Factors</w:t>
            </w:r>
          </w:p>
        </w:tc>
      </w:tr>
      <w:tr w:rsidR="001A1811" w:rsidRPr="000A02EE" w:rsidTr="001A1811">
        <w:trPr>
          <w:trHeight w:val="288"/>
          <w:jc w:val="center"/>
        </w:trPr>
        <w:tc>
          <w:tcPr>
            <w:tcW w:w="645"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0.852248</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-0.13919</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-0.09636</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-0.21413</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-0.10707</w:t>
            </w:r>
          </w:p>
        </w:tc>
        <w:tc>
          <w:tcPr>
            <w:tcW w:w="1257"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-0.15846</w:t>
            </w:r>
          </w:p>
        </w:tc>
        <w:tc>
          <w:tcPr>
            <w:tcW w:w="1377"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-0.13704</w:t>
            </w:r>
          </w:p>
        </w:tc>
      </w:tr>
      <w:tr w:rsidR="001A1811" w:rsidRPr="000A02EE" w:rsidTr="001A1811">
        <w:trPr>
          <w:trHeight w:val="288"/>
          <w:jc w:val="center"/>
        </w:trPr>
        <w:tc>
          <w:tcPr>
            <w:tcW w:w="645"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-0.14133</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0.862955</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-0.08994</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-0.20985</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-0.09422</w:t>
            </w:r>
          </w:p>
        </w:tc>
        <w:tc>
          <w:tcPr>
            <w:tcW w:w="1257"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-0.12848</w:t>
            </w:r>
          </w:p>
        </w:tc>
        <w:tc>
          <w:tcPr>
            <w:tcW w:w="1377"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-0.14989</w:t>
            </w:r>
          </w:p>
        </w:tc>
      </w:tr>
      <w:tr w:rsidR="001A1811" w:rsidRPr="000A02EE" w:rsidTr="001A1811">
        <w:trPr>
          <w:trHeight w:val="288"/>
          <w:jc w:val="center"/>
        </w:trPr>
        <w:tc>
          <w:tcPr>
            <w:tcW w:w="645"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-0.1349</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-0.14133</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0.929336</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-0.13919</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-0.08137</w:t>
            </w:r>
          </w:p>
        </w:tc>
        <w:tc>
          <w:tcPr>
            <w:tcW w:w="1257"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-0.11777</w:t>
            </w:r>
          </w:p>
        </w:tc>
        <w:tc>
          <w:tcPr>
            <w:tcW w:w="1377"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-0.13704</w:t>
            </w:r>
          </w:p>
        </w:tc>
      </w:tr>
      <w:tr w:rsidR="001A1811" w:rsidRPr="000A02EE" w:rsidTr="001A1811">
        <w:trPr>
          <w:trHeight w:val="288"/>
          <w:jc w:val="center"/>
        </w:trPr>
        <w:tc>
          <w:tcPr>
            <w:tcW w:w="645"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-0.08994</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-0.09208</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-0.08137</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0.91863</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-0.05139</w:t>
            </w:r>
          </w:p>
        </w:tc>
        <w:tc>
          <w:tcPr>
            <w:tcW w:w="1257"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-0.08994</w:t>
            </w:r>
          </w:p>
        </w:tc>
        <w:tc>
          <w:tcPr>
            <w:tcW w:w="1377"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0.865096</w:t>
            </w:r>
          </w:p>
        </w:tc>
      </w:tr>
      <w:tr w:rsidR="001A1811" w:rsidRPr="000A02EE" w:rsidTr="001A1811">
        <w:trPr>
          <w:trHeight w:val="288"/>
          <w:jc w:val="center"/>
        </w:trPr>
        <w:tc>
          <w:tcPr>
            <w:tcW w:w="645"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-0.08351</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-0.08565</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-0.05139</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-0.06424</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0.955032</w:t>
            </w:r>
          </w:p>
        </w:tc>
        <w:tc>
          <w:tcPr>
            <w:tcW w:w="1257"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-0.08351</w:t>
            </w:r>
          </w:p>
        </w:tc>
        <w:tc>
          <w:tcPr>
            <w:tcW w:w="1377"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-0.09636</w:t>
            </w:r>
          </w:p>
        </w:tc>
      </w:tr>
      <w:tr w:rsidR="001A1811" w:rsidRPr="000A02EE" w:rsidTr="001A1811">
        <w:trPr>
          <w:trHeight w:val="300"/>
          <w:jc w:val="center"/>
        </w:trPr>
        <w:tc>
          <w:tcPr>
            <w:tcW w:w="645"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-0.0621</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-0.07066</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-0.04497</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-0.05353</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-0.03212</w:t>
            </w:r>
          </w:p>
        </w:tc>
        <w:tc>
          <w:tcPr>
            <w:tcW w:w="1257"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0.940043</w:t>
            </w:r>
          </w:p>
        </w:tc>
        <w:tc>
          <w:tcPr>
            <w:tcW w:w="1377"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-0.04925</w:t>
            </w:r>
          </w:p>
        </w:tc>
      </w:tr>
      <w:tr w:rsidR="001A1811" w:rsidRPr="000A02EE" w:rsidTr="001A1811">
        <w:trPr>
          <w:trHeight w:val="300"/>
          <w:jc w:val="center"/>
        </w:trPr>
        <w:tc>
          <w:tcPr>
            <w:tcW w:w="645"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-0.04069</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-0.04283</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-0.03854</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-0.0257</w:t>
            </w:r>
          </w:p>
        </w:tc>
        <w:tc>
          <w:tcPr>
            <w:tcW w:w="960"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-0.02141</w:t>
            </w:r>
          </w:p>
        </w:tc>
        <w:tc>
          <w:tcPr>
            <w:tcW w:w="1257"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-0.03426</w:t>
            </w:r>
          </w:p>
        </w:tc>
        <w:tc>
          <w:tcPr>
            <w:tcW w:w="1377" w:type="dxa"/>
            <w:shd w:val="clear" w:color="auto" w:fill="auto"/>
            <w:noWrap/>
            <w:vAlign w:val="bottom"/>
            <w:hideMark/>
          </w:tcPr>
          <w:p w:rsidR="001A1811" w:rsidRPr="000A02EE" w:rsidRDefault="001A1811" w:rsidP="001A1811">
            <w:pPr>
              <w:spacing w:before="0" w:after="0"/>
              <w:rPr>
                <w:sz w:val="18"/>
                <w:szCs w:val="18"/>
              </w:rPr>
            </w:pPr>
            <w:r w:rsidRPr="000A02EE">
              <w:rPr>
                <w:sz w:val="18"/>
                <w:szCs w:val="18"/>
              </w:rPr>
              <w:t>0.978587</w:t>
            </w:r>
          </w:p>
        </w:tc>
      </w:tr>
    </w:tbl>
    <w:p w:rsidR="001A1811" w:rsidRDefault="001A1811" w:rsidP="001A1811">
      <w:pPr>
        <w:spacing w:before="0" w:after="0"/>
        <w:rPr>
          <w:szCs w:val="20"/>
        </w:rPr>
      </w:pPr>
      <w:r>
        <w:rPr>
          <w:szCs w:val="20"/>
          <w:shd w:val="clear" w:color="auto" w:fill="FFFFFF"/>
        </w:rPr>
        <w:t xml:space="preserve"> </w:t>
      </w:r>
      <w:r>
        <w:rPr>
          <w:szCs w:val="20"/>
        </w:rPr>
        <w:t xml:space="preserve">   </w:t>
      </w:r>
    </w:p>
    <w:p w:rsidR="001A1811" w:rsidRDefault="001A1811" w:rsidP="001A1811">
      <w:pPr>
        <w:spacing w:before="0" w:after="0"/>
        <w:jc w:val="both"/>
        <w:rPr>
          <w:szCs w:val="20"/>
          <w:shd w:val="clear" w:color="auto" w:fill="FFFFFF"/>
        </w:rPr>
      </w:pPr>
      <w:r>
        <w:rPr>
          <w:szCs w:val="20"/>
        </w:rPr>
        <w:t xml:space="preserve">      </w:t>
      </w:r>
      <w:r w:rsidRPr="00DC3BCC">
        <w:rPr>
          <w:szCs w:val="20"/>
        </w:rPr>
        <w:t xml:space="preserve">Table 6 Shows the </w:t>
      </w:r>
      <w:r w:rsidRPr="00DC3BCC">
        <w:rPr>
          <w:szCs w:val="20"/>
          <w:shd w:val="clear" w:color="auto" w:fill="FFFFFF"/>
        </w:rPr>
        <w:t xml:space="preserve">I-Y Value in </w:t>
      </w:r>
      <w:r w:rsidRPr="00711044">
        <w:rPr>
          <w:sz w:val="18"/>
        </w:rPr>
        <w:t>Analysis of sleep disorders in women</w:t>
      </w:r>
      <w:r w:rsidRPr="00F31003">
        <w:rPr>
          <w:szCs w:val="20"/>
        </w:rPr>
        <w:t xml:space="preserve"> with respect to </w:t>
      </w:r>
      <w:r w:rsidRPr="00507E10">
        <w:rPr>
          <w:szCs w:val="20"/>
        </w:rPr>
        <w:t>Insomnia, SDB, RLS, ESD, NGH, Hypersomnia, Environmental Factors</w:t>
      </w:r>
      <w:r>
        <w:rPr>
          <w:szCs w:val="20"/>
        </w:rPr>
        <w:t xml:space="preserve">  </w:t>
      </w:r>
      <w:r w:rsidRPr="00DC3BCC">
        <w:rPr>
          <w:szCs w:val="20"/>
          <w:shd w:val="clear" w:color="auto" w:fill="FFFFFF"/>
        </w:rPr>
        <w:t>table 4 T= Y(I-Y)-1, I= Identity matrix and table 5 Y Value Subtraction Value.</w:t>
      </w:r>
    </w:p>
    <w:p w:rsidR="001A1811" w:rsidRDefault="001A1811" w:rsidP="001A1811">
      <w:pPr>
        <w:rPr>
          <w:szCs w:val="20"/>
          <w:shd w:val="clear" w:color="auto" w:fill="FFFFFF"/>
        </w:rPr>
      </w:pPr>
      <w:r>
        <w:rPr>
          <w:b/>
          <w:szCs w:val="20"/>
        </w:rPr>
        <w:t>TABLE 7</w:t>
      </w:r>
      <w:r w:rsidRPr="00DC3BCC">
        <w:rPr>
          <w:b/>
          <w:szCs w:val="20"/>
        </w:rPr>
        <w:t>.</w:t>
      </w:r>
      <w:r w:rsidRPr="00DC3BCC">
        <w:rPr>
          <w:szCs w:val="20"/>
          <w:lang w:eastAsia="en-IN"/>
        </w:rPr>
        <w:t xml:space="preserve">(I-Y)-1 </w:t>
      </w:r>
      <w:r w:rsidRPr="00DC3BCC">
        <w:rPr>
          <w:szCs w:val="20"/>
          <w:shd w:val="clear" w:color="auto" w:fill="FFFFFF"/>
        </w:rPr>
        <w:t>Value</w:t>
      </w:r>
    </w:p>
    <w:tbl>
      <w:tblPr>
        <w:tblW w:w="7684"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
        <w:gridCol w:w="960"/>
        <w:gridCol w:w="960"/>
        <w:gridCol w:w="960"/>
        <w:gridCol w:w="960"/>
        <w:gridCol w:w="1257"/>
        <w:gridCol w:w="1377"/>
      </w:tblGrid>
      <w:tr w:rsidR="001A1811" w:rsidRPr="000A02EE" w:rsidTr="001A1811">
        <w:trPr>
          <w:trHeight w:val="300"/>
          <w:jc w:val="center"/>
        </w:trPr>
        <w:tc>
          <w:tcPr>
            <w:tcW w:w="1360" w:type="dxa"/>
            <w:shd w:val="clear" w:color="auto" w:fill="auto"/>
            <w:noWrap/>
            <w:vAlign w:val="bottom"/>
            <w:hideMark/>
          </w:tcPr>
          <w:p w:rsidR="001A1811" w:rsidRPr="009A2B45" w:rsidRDefault="001A1811" w:rsidP="001A1811">
            <w:pPr>
              <w:spacing w:before="0" w:after="0"/>
              <w:jc w:val="left"/>
              <w:rPr>
                <w:b/>
                <w:sz w:val="18"/>
                <w:szCs w:val="18"/>
              </w:rPr>
            </w:pPr>
            <w:r w:rsidRPr="009A2B45">
              <w:rPr>
                <w:b/>
                <w:sz w:val="18"/>
                <w:szCs w:val="18"/>
              </w:rPr>
              <w:t>Insomnia</w:t>
            </w:r>
          </w:p>
        </w:tc>
        <w:tc>
          <w:tcPr>
            <w:tcW w:w="960" w:type="dxa"/>
            <w:shd w:val="clear" w:color="auto" w:fill="auto"/>
            <w:noWrap/>
            <w:vAlign w:val="bottom"/>
            <w:hideMark/>
          </w:tcPr>
          <w:p w:rsidR="001A1811" w:rsidRPr="009A2B45" w:rsidRDefault="001A1811" w:rsidP="001A1811">
            <w:pPr>
              <w:spacing w:before="0" w:after="0"/>
              <w:jc w:val="left"/>
              <w:rPr>
                <w:b/>
                <w:sz w:val="18"/>
                <w:szCs w:val="18"/>
              </w:rPr>
            </w:pPr>
            <w:r w:rsidRPr="009A2B45">
              <w:rPr>
                <w:b/>
                <w:sz w:val="18"/>
                <w:szCs w:val="18"/>
              </w:rPr>
              <w:t>SDB</w:t>
            </w:r>
          </w:p>
        </w:tc>
        <w:tc>
          <w:tcPr>
            <w:tcW w:w="960" w:type="dxa"/>
            <w:shd w:val="clear" w:color="auto" w:fill="auto"/>
            <w:noWrap/>
            <w:vAlign w:val="bottom"/>
            <w:hideMark/>
          </w:tcPr>
          <w:p w:rsidR="001A1811" w:rsidRPr="009A2B45" w:rsidRDefault="001A1811" w:rsidP="001A1811">
            <w:pPr>
              <w:spacing w:before="0" w:after="0"/>
              <w:jc w:val="left"/>
              <w:rPr>
                <w:b/>
                <w:sz w:val="18"/>
                <w:szCs w:val="18"/>
              </w:rPr>
            </w:pPr>
            <w:r w:rsidRPr="009A2B45">
              <w:rPr>
                <w:b/>
                <w:sz w:val="18"/>
                <w:szCs w:val="18"/>
              </w:rPr>
              <w:t>RLS</w:t>
            </w:r>
          </w:p>
        </w:tc>
        <w:tc>
          <w:tcPr>
            <w:tcW w:w="960" w:type="dxa"/>
            <w:shd w:val="clear" w:color="auto" w:fill="auto"/>
            <w:noWrap/>
            <w:vAlign w:val="bottom"/>
            <w:hideMark/>
          </w:tcPr>
          <w:p w:rsidR="001A1811" w:rsidRPr="009A2B45" w:rsidRDefault="001A1811" w:rsidP="001A1811">
            <w:pPr>
              <w:spacing w:before="0" w:after="0"/>
              <w:jc w:val="left"/>
              <w:rPr>
                <w:b/>
                <w:sz w:val="18"/>
                <w:szCs w:val="18"/>
              </w:rPr>
            </w:pPr>
            <w:r w:rsidRPr="009A2B45">
              <w:rPr>
                <w:b/>
                <w:sz w:val="18"/>
                <w:szCs w:val="18"/>
              </w:rPr>
              <w:t>ESD</w:t>
            </w:r>
          </w:p>
        </w:tc>
        <w:tc>
          <w:tcPr>
            <w:tcW w:w="960" w:type="dxa"/>
            <w:shd w:val="clear" w:color="auto" w:fill="auto"/>
            <w:noWrap/>
            <w:vAlign w:val="bottom"/>
            <w:hideMark/>
          </w:tcPr>
          <w:p w:rsidR="001A1811" w:rsidRPr="009A2B45" w:rsidRDefault="001A1811" w:rsidP="001A1811">
            <w:pPr>
              <w:spacing w:before="0" w:after="0"/>
              <w:jc w:val="left"/>
              <w:rPr>
                <w:b/>
                <w:sz w:val="18"/>
                <w:szCs w:val="18"/>
              </w:rPr>
            </w:pPr>
            <w:r w:rsidRPr="009A2B45">
              <w:rPr>
                <w:b/>
                <w:sz w:val="18"/>
                <w:szCs w:val="18"/>
              </w:rPr>
              <w:t>NGH</w:t>
            </w:r>
          </w:p>
        </w:tc>
        <w:tc>
          <w:tcPr>
            <w:tcW w:w="1193" w:type="dxa"/>
            <w:shd w:val="clear" w:color="auto" w:fill="auto"/>
            <w:noWrap/>
            <w:vAlign w:val="bottom"/>
            <w:hideMark/>
          </w:tcPr>
          <w:p w:rsidR="001A1811" w:rsidRPr="009A2B45" w:rsidRDefault="001A1811" w:rsidP="001A1811">
            <w:pPr>
              <w:spacing w:before="0" w:after="0"/>
              <w:jc w:val="left"/>
              <w:rPr>
                <w:b/>
                <w:sz w:val="18"/>
                <w:szCs w:val="18"/>
              </w:rPr>
            </w:pPr>
            <w:r w:rsidRPr="009A2B45">
              <w:rPr>
                <w:b/>
                <w:sz w:val="18"/>
                <w:szCs w:val="18"/>
              </w:rPr>
              <w:t>Hypersomnia</w:t>
            </w:r>
          </w:p>
        </w:tc>
        <w:tc>
          <w:tcPr>
            <w:tcW w:w="1291" w:type="dxa"/>
            <w:shd w:val="clear" w:color="auto" w:fill="auto"/>
            <w:noWrap/>
            <w:vAlign w:val="bottom"/>
            <w:hideMark/>
          </w:tcPr>
          <w:p w:rsidR="001A1811" w:rsidRPr="009A2B45" w:rsidRDefault="001A1811" w:rsidP="001A1811">
            <w:pPr>
              <w:spacing w:before="0" w:after="0"/>
              <w:jc w:val="left"/>
              <w:rPr>
                <w:b/>
                <w:sz w:val="18"/>
                <w:szCs w:val="18"/>
              </w:rPr>
            </w:pPr>
            <w:r w:rsidRPr="009A2B45">
              <w:rPr>
                <w:b/>
                <w:sz w:val="18"/>
                <w:szCs w:val="18"/>
              </w:rPr>
              <w:t>Environmental Factors</w:t>
            </w:r>
          </w:p>
        </w:tc>
      </w:tr>
      <w:tr w:rsidR="001A1811" w:rsidRPr="000A02EE" w:rsidTr="001A1811">
        <w:trPr>
          <w:trHeight w:val="288"/>
          <w:jc w:val="center"/>
        </w:trPr>
        <w:tc>
          <w:tcPr>
            <w:tcW w:w="13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1.369647473</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0.362503</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0.246576</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0.475857</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0.246401</w:t>
            </w:r>
          </w:p>
        </w:tc>
        <w:tc>
          <w:tcPr>
            <w:tcW w:w="1193"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0.375241</w:t>
            </w:r>
          </w:p>
        </w:tc>
        <w:tc>
          <w:tcPr>
            <w:tcW w:w="1291"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-0.09565</w:t>
            </w:r>
          </w:p>
        </w:tc>
      </w:tr>
      <w:tr w:rsidR="001A1811" w:rsidRPr="000A02EE" w:rsidTr="001A1811">
        <w:trPr>
          <w:trHeight w:val="288"/>
          <w:jc w:val="center"/>
        </w:trPr>
        <w:tc>
          <w:tcPr>
            <w:tcW w:w="13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0.351585847</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1.348452</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0.23253</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0.458336</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0.226407</w:t>
            </w:r>
          </w:p>
        </w:tc>
        <w:tc>
          <w:tcPr>
            <w:tcW w:w="1193"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0.333826</w:t>
            </w:r>
          </w:p>
        </w:tc>
        <w:tc>
          <w:tcPr>
            <w:tcW w:w="1291"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-0.07774</w:t>
            </w:r>
          </w:p>
        </w:tc>
      </w:tr>
      <w:tr w:rsidR="001A1811" w:rsidRPr="000A02EE" w:rsidTr="001A1811">
        <w:trPr>
          <w:trHeight w:val="288"/>
          <w:jc w:val="center"/>
        </w:trPr>
        <w:tc>
          <w:tcPr>
            <w:tcW w:w="13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0.323298505</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0.330551</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1.198076</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0.363329</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0.200117</w:t>
            </w:r>
          </w:p>
        </w:tc>
        <w:tc>
          <w:tcPr>
            <w:tcW w:w="1193"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0.301489</w:t>
            </w:r>
          </w:p>
        </w:tc>
        <w:tc>
          <w:tcPr>
            <w:tcW w:w="1291"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-0.02262</w:t>
            </w:r>
          </w:p>
        </w:tc>
      </w:tr>
      <w:tr w:rsidR="001A1811" w:rsidRPr="000A02EE" w:rsidTr="001A1811">
        <w:trPr>
          <w:trHeight w:val="288"/>
          <w:jc w:val="center"/>
        </w:trPr>
        <w:tc>
          <w:tcPr>
            <w:tcW w:w="13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0.131563233</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0.132269</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0.09889</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1.15144</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0.081426</w:t>
            </w:r>
          </w:p>
        </w:tc>
        <w:tc>
          <w:tcPr>
            <w:tcW w:w="1193"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0.135395</w:t>
            </w:r>
          </w:p>
        </w:tc>
        <w:tc>
          <w:tcPr>
            <w:tcW w:w="1291"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-0.95054</w:t>
            </w:r>
          </w:p>
        </w:tc>
      </w:tr>
      <w:tr w:rsidR="001A1811" w:rsidRPr="000A02EE" w:rsidTr="001A1811">
        <w:trPr>
          <w:trHeight w:val="288"/>
          <w:jc w:val="center"/>
        </w:trPr>
        <w:tc>
          <w:tcPr>
            <w:tcW w:w="13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0.200737549</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0.203546</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0.130481</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0.203306</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1.118772</w:t>
            </w:r>
          </w:p>
        </w:tc>
        <w:tc>
          <w:tcPr>
            <w:tcW w:w="1193"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0.197498</w:t>
            </w:r>
          </w:p>
        </w:tc>
        <w:tc>
          <w:tcPr>
            <w:tcW w:w="1291"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0.017938</w:t>
            </w:r>
          </w:p>
        </w:tc>
      </w:tr>
      <w:tr w:rsidR="001A1811" w:rsidRPr="000A02EE" w:rsidTr="001A1811">
        <w:trPr>
          <w:trHeight w:val="300"/>
          <w:jc w:val="center"/>
        </w:trPr>
        <w:tc>
          <w:tcPr>
            <w:tcW w:w="13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0.151869655</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0.160884</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0.10519</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0.160736</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0.088759</w:t>
            </w:r>
          </w:p>
        </w:tc>
        <w:tc>
          <w:tcPr>
            <w:tcW w:w="1193"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1.147266</w:t>
            </w:r>
          </w:p>
        </w:tc>
        <w:tc>
          <w:tcPr>
            <w:tcW w:w="1291"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-0.01497</w:t>
            </w:r>
          </w:p>
        </w:tc>
      </w:tr>
      <w:tr w:rsidR="001A1811" w:rsidRPr="000A02EE" w:rsidTr="001A1811">
        <w:trPr>
          <w:trHeight w:val="300"/>
          <w:jc w:val="center"/>
        </w:trPr>
        <w:tc>
          <w:tcPr>
            <w:tcW w:w="13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0.098228536</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0.100664</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0.076751</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0.094464</w:t>
            </w:r>
          </w:p>
        </w:tc>
        <w:tc>
          <w:tcPr>
            <w:tcW w:w="960"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0.057761</w:t>
            </w:r>
          </w:p>
        </w:tc>
        <w:tc>
          <w:tcPr>
            <w:tcW w:w="1193"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0.090129</w:t>
            </w:r>
          </w:p>
        </w:tc>
        <w:tc>
          <w:tcPr>
            <w:tcW w:w="1291" w:type="dxa"/>
            <w:shd w:val="clear" w:color="auto" w:fill="auto"/>
            <w:noWrap/>
            <w:vAlign w:val="bottom"/>
            <w:hideMark/>
          </w:tcPr>
          <w:p w:rsidR="001A1811" w:rsidRPr="000A02EE" w:rsidRDefault="001A1811" w:rsidP="001A1811">
            <w:pPr>
              <w:spacing w:before="0" w:after="0"/>
              <w:jc w:val="right"/>
              <w:rPr>
                <w:sz w:val="18"/>
                <w:szCs w:val="18"/>
              </w:rPr>
            </w:pPr>
            <w:r w:rsidRPr="000A02EE">
              <w:rPr>
                <w:sz w:val="18"/>
                <w:szCs w:val="18"/>
              </w:rPr>
              <w:t>0.988521</w:t>
            </w:r>
          </w:p>
        </w:tc>
      </w:tr>
    </w:tbl>
    <w:p w:rsidR="001A1811" w:rsidRDefault="001A1811" w:rsidP="001A1811">
      <w:pPr>
        <w:spacing w:before="0" w:after="0"/>
        <w:jc w:val="left"/>
        <w:rPr>
          <w:szCs w:val="20"/>
          <w:shd w:val="clear" w:color="auto" w:fill="FFFFFF"/>
        </w:rPr>
      </w:pPr>
      <w:r>
        <w:rPr>
          <w:szCs w:val="20"/>
          <w:shd w:val="clear" w:color="auto" w:fill="FFFFFF"/>
        </w:rPr>
        <w:t xml:space="preserve">         </w:t>
      </w:r>
    </w:p>
    <w:p w:rsidR="001A1811" w:rsidRDefault="001A1811" w:rsidP="00401A38">
      <w:pPr>
        <w:spacing w:before="0" w:after="0"/>
        <w:jc w:val="both"/>
        <w:rPr>
          <w:szCs w:val="20"/>
          <w:lang w:eastAsia="en-IN"/>
        </w:rPr>
      </w:pPr>
      <w:r w:rsidRPr="00DC3BCC">
        <w:rPr>
          <w:szCs w:val="20"/>
        </w:rPr>
        <w:t xml:space="preserve">Table 7 shows the </w:t>
      </w:r>
      <w:r w:rsidRPr="00DC3BCC">
        <w:rPr>
          <w:szCs w:val="20"/>
          <w:lang w:eastAsia="en-IN"/>
        </w:rPr>
        <w:t>(I-Y)-1</w:t>
      </w:r>
      <w:r w:rsidRPr="00DC3BCC">
        <w:rPr>
          <w:szCs w:val="20"/>
          <w:shd w:val="clear" w:color="auto" w:fill="FFFFFF"/>
        </w:rPr>
        <w:t>Value</w:t>
      </w:r>
      <w:r w:rsidRPr="008C196E">
        <w:rPr>
          <w:szCs w:val="20"/>
          <w:shd w:val="clear" w:color="auto" w:fill="FFFFFF"/>
        </w:rPr>
        <w:t xml:space="preserve"> </w:t>
      </w:r>
      <w:r w:rsidRPr="00DC3BCC">
        <w:rPr>
          <w:szCs w:val="20"/>
          <w:shd w:val="clear" w:color="auto" w:fill="FFFFFF"/>
        </w:rPr>
        <w:t>in</w:t>
      </w:r>
      <w:r w:rsidRPr="008C196E">
        <w:rPr>
          <w:sz w:val="18"/>
        </w:rPr>
        <w:t xml:space="preserve"> </w:t>
      </w:r>
      <w:r w:rsidRPr="00711044">
        <w:rPr>
          <w:sz w:val="18"/>
        </w:rPr>
        <w:t>Analysis of sleep disorders in women</w:t>
      </w:r>
      <w:r w:rsidRPr="00F31003">
        <w:rPr>
          <w:szCs w:val="20"/>
        </w:rPr>
        <w:t xml:space="preserve"> with respect to</w:t>
      </w:r>
      <w:r>
        <w:rPr>
          <w:szCs w:val="20"/>
        </w:rPr>
        <w:t xml:space="preserve"> </w:t>
      </w:r>
      <w:r w:rsidRPr="00507E10">
        <w:rPr>
          <w:szCs w:val="20"/>
        </w:rPr>
        <w:t>Insomnia, SDB, RLS, ESD, NGH, Hypersomnia, Environmental Factors</w:t>
      </w:r>
      <w:r>
        <w:rPr>
          <w:szCs w:val="20"/>
        </w:rPr>
        <w:t xml:space="preserve"> </w:t>
      </w:r>
      <w:r w:rsidRPr="00DC3BCC">
        <w:rPr>
          <w:szCs w:val="20"/>
        </w:rPr>
        <w:t xml:space="preserve">Table 6 </w:t>
      </w:r>
      <w:r>
        <w:rPr>
          <w:szCs w:val="20"/>
          <w:lang w:eastAsia="en-IN"/>
        </w:rPr>
        <w:t xml:space="preserve">shows the Minvers </w:t>
      </w:r>
      <w:r w:rsidRPr="00DC3BCC">
        <w:rPr>
          <w:szCs w:val="20"/>
          <w:lang w:eastAsia="en-IN"/>
        </w:rPr>
        <w:t xml:space="preserve"> used.</w:t>
      </w:r>
    </w:p>
    <w:p w:rsidR="001A1811" w:rsidRDefault="001A1811" w:rsidP="001A1811">
      <w:pPr>
        <w:rPr>
          <w:szCs w:val="20"/>
          <w:lang w:eastAsia="en-IN"/>
        </w:rPr>
      </w:pPr>
      <w:r>
        <w:rPr>
          <w:b/>
          <w:szCs w:val="20"/>
        </w:rPr>
        <w:t>TABLE 8</w:t>
      </w:r>
      <w:r w:rsidRPr="00DC3BCC">
        <w:rPr>
          <w:b/>
          <w:szCs w:val="20"/>
        </w:rPr>
        <w:t>.</w:t>
      </w:r>
      <w:r w:rsidRPr="00DC3BCC">
        <w:rPr>
          <w:szCs w:val="20"/>
          <w:lang w:eastAsia="en-IN"/>
        </w:rPr>
        <w:t>Total Relation matrix (T)</w:t>
      </w:r>
    </w:p>
    <w:tbl>
      <w:tblPr>
        <w:tblW w:w="8080"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
        <w:gridCol w:w="960"/>
        <w:gridCol w:w="960"/>
        <w:gridCol w:w="960"/>
        <w:gridCol w:w="960"/>
        <w:gridCol w:w="960"/>
        <w:gridCol w:w="960"/>
        <w:gridCol w:w="960"/>
      </w:tblGrid>
      <w:tr w:rsidR="001A1811" w:rsidRPr="00AC503D" w:rsidTr="001A1811">
        <w:trPr>
          <w:trHeight w:val="288"/>
          <w:jc w:val="center"/>
        </w:trPr>
        <w:tc>
          <w:tcPr>
            <w:tcW w:w="13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0.369647473</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0.362503</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0.246576</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0.475857</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0.246401</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0.375241</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-0.09565</w:t>
            </w:r>
          </w:p>
        </w:tc>
        <w:tc>
          <w:tcPr>
            <w:tcW w:w="960" w:type="dxa"/>
            <w:shd w:val="clear" w:color="auto" w:fill="auto"/>
            <w:noWrap/>
            <w:vAlign w:val="bottom"/>
            <w:hideMark/>
          </w:tcPr>
          <w:p w:rsidR="001A1811" w:rsidRPr="00AC503D" w:rsidRDefault="001A1811" w:rsidP="001A1811">
            <w:pPr>
              <w:spacing w:before="0" w:after="0"/>
              <w:jc w:val="right"/>
              <w:rPr>
                <w:b/>
                <w:bCs/>
                <w:sz w:val="18"/>
                <w:szCs w:val="18"/>
              </w:rPr>
            </w:pPr>
            <w:r w:rsidRPr="00AC503D">
              <w:rPr>
                <w:b/>
                <w:bCs/>
                <w:sz w:val="18"/>
                <w:szCs w:val="18"/>
              </w:rPr>
              <w:t>1.980572</w:t>
            </w:r>
          </w:p>
        </w:tc>
      </w:tr>
      <w:tr w:rsidR="001A1811" w:rsidRPr="00AC503D" w:rsidTr="001A1811">
        <w:trPr>
          <w:trHeight w:val="288"/>
          <w:jc w:val="center"/>
        </w:trPr>
        <w:tc>
          <w:tcPr>
            <w:tcW w:w="13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0.351585847</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0.348452</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0.23253</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0.458336</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0.226407</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0.333826</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-0.07774</w:t>
            </w:r>
          </w:p>
        </w:tc>
        <w:tc>
          <w:tcPr>
            <w:tcW w:w="960" w:type="dxa"/>
            <w:shd w:val="clear" w:color="auto" w:fill="auto"/>
            <w:noWrap/>
            <w:vAlign w:val="bottom"/>
            <w:hideMark/>
          </w:tcPr>
          <w:p w:rsidR="001A1811" w:rsidRPr="00AC503D" w:rsidRDefault="001A1811" w:rsidP="001A1811">
            <w:pPr>
              <w:spacing w:before="0" w:after="0"/>
              <w:jc w:val="right"/>
              <w:rPr>
                <w:b/>
                <w:bCs/>
                <w:sz w:val="18"/>
                <w:szCs w:val="18"/>
              </w:rPr>
            </w:pPr>
            <w:r w:rsidRPr="00AC503D">
              <w:rPr>
                <w:b/>
                <w:bCs/>
                <w:sz w:val="18"/>
                <w:szCs w:val="18"/>
              </w:rPr>
              <w:t>1.873399</w:t>
            </w:r>
          </w:p>
        </w:tc>
      </w:tr>
      <w:tr w:rsidR="001A1811" w:rsidRPr="00AC503D" w:rsidTr="001A1811">
        <w:trPr>
          <w:trHeight w:val="288"/>
          <w:jc w:val="center"/>
        </w:trPr>
        <w:tc>
          <w:tcPr>
            <w:tcW w:w="13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0.323298505</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0.330551</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0.198076</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0.363329</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0.200117</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0.301489</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-0.02262</w:t>
            </w:r>
          </w:p>
        </w:tc>
        <w:tc>
          <w:tcPr>
            <w:tcW w:w="960" w:type="dxa"/>
            <w:shd w:val="clear" w:color="auto" w:fill="auto"/>
            <w:noWrap/>
            <w:vAlign w:val="bottom"/>
            <w:hideMark/>
          </w:tcPr>
          <w:p w:rsidR="001A1811" w:rsidRPr="00AC503D" w:rsidRDefault="001A1811" w:rsidP="001A1811">
            <w:pPr>
              <w:spacing w:before="0" w:after="0"/>
              <w:jc w:val="right"/>
              <w:rPr>
                <w:b/>
                <w:bCs/>
                <w:sz w:val="18"/>
                <w:szCs w:val="18"/>
              </w:rPr>
            </w:pPr>
            <w:r w:rsidRPr="00AC503D">
              <w:rPr>
                <w:b/>
                <w:bCs/>
                <w:sz w:val="18"/>
                <w:szCs w:val="18"/>
              </w:rPr>
              <w:t>1.694236</w:t>
            </w:r>
          </w:p>
        </w:tc>
      </w:tr>
      <w:tr w:rsidR="001A1811" w:rsidRPr="00AC503D" w:rsidTr="001A1811">
        <w:trPr>
          <w:trHeight w:val="288"/>
          <w:jc w:val="center"/>
        </w:trPr>
        <w:tc>
          <w:tcPr>
            <w:tcW w:w="13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0.229791768</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0.232933</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0.175641</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0.245904</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0.139187</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0.225524</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0.037983</w:t>
            </w:r>
          </w:p>
        </w:tc>
        <w:tc>
          <w:tcPr>
            <w:tcW w:w="960" w:type="dxa"/>
            <w:shd w:val="clear" w:color="auto" w:fill="auto"/>
            <w:noWrap/>
            <w:vAlign w:val="bottom"/>
            <w:hideMark/>
          </w:tcPr>
          <w:p w:rsidR="001A1811" w:rsidRPr="00AC503D" w:rsidRDefault="001A1811" w:rsidP="001A1811">
            <w:pPr>
              <w:spacing w:before="0" w:after="0"/>
              <w:jc w:val="right"/>
              <w:rPr>
                <w:b/>
                <w:bCs/>
                <w:sz w:val="18"/>
                <w:szCs w:val="18"/>
              </w:rPr>
            </w:pPr>
            <w:r w:rsidRPr="00AC503D">
              <w:rPr>
                <w:b/>
                <w:bCs/>
                <w:sz w:val="18"/>
                <w:szCs w:val="18"/>
              </w:rPr>
              <w:t>1.286964</w:t>
            </w:r>
          </w:p>
        </w:tc>
      </w:tr>
      <w:tr w:rsidR="001A1811" w:rsidRPr="00AC503D" w:rsidTr="001A1811">
        <w:trPr>
          <w:trHeight w:val="288"/>
          <w:jc w:val="center"/>
        </w:trPr>
        <w:tc>
          <w:tcPr>
            <w:tcW w:w="13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0.200737549</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0.203546</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0.130481</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0.203306</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0.118772</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0.197498</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0.017938</w:t>
            </w:r>
          </w:p>
        </w:tc>
        <w:tc>
          <w:tcPr>
            <w:tcW w:w="960" w:type="dxa"/>
            <w:shd w:val="clear" w:color="auto" w:fill="auto"/>
            <w:noWrap/>
            <w:vAlign w:val="bottom"/>
            <w:hideMark/>
          </w:tcPr>
          <w:p w:rsidR="001A1811" w:rsidRPr="00AC503D" w:rsidRDefault="001A1811" w:rsidP="001A1811">
            <w:pPr>
              <w:spacing w:before="0" w:after="0"/>
              <w:jc w:val="right"/>
              <w:rPr>
                <w:b/>
                <w:bCs/>
                <w:sz w:val="18"/>
                <w:szCs w:val="18"/>
              </w:rPr>
            </w:pPr>
            <w:r w:rsidRPr="00AC503D">
              <w:rPr>
                <w:b/>
                <w:bCs/>
                <w:sz w:val="18"/>
                <w:szCs w:val="18"/>
              </w:rPr>
              <w:t>1.072279</w:t>
            </w:r>
          </w:p>
        </w:tc>
      </w:tr>
      <w:tr w:rsidR="001A1811" w:rsidRPr="00AC503D" w:rsidTr="001A1811">
        <w:trPr>
          <w:trHeight w:val="288"/>
          <w:jc w:val="center"/>
        </w:trPr>
        <w:tc>
          <w:tcPr>
            <w:tcW w:w="13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0.151869655</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0.160884</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0.10519</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0.160736</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0.088759</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0.147266</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-0.01497</w:t>
            </w:r>
          </w:p>
        </w:tc>
        <w:tc>
          <w:tcPr>
            <w:tcW w:w="960" w:type="dxa"/>
            <w:shd w:val="clear" w:color="auto" w:fill="auto"/>
            <w:noWrap/>
            <w:vAlign w:val="bottom"/>
            <w:hideMark/>
          </w:tcPr>
          <w:p w:rsidR="001A1811" w:rsidRPr="00AC503D" w:rsidRDefault="001A1811" w:rsidP="001A1811">
            <w:pPr>
              <w:spacing w:before="0" w:after="0"/>
              <w:jc w:val="right"/>
              <w:rPr>
                <w:b/>
                <w:bCs/>
                <w:sz w:val="18"/>
                <w:szCs w:val="18"/>
              </w:rPr>
            </w:pPr>
            <w:r w:rsidRPr="00AC503D">
              <w:rPr>
                <w:b/>
                <w:bCs/>
                <w:sz w:val="18"/>
                <w:szCs w:val="18"/>
              </w:rPr>
              <w:t>0.799733</w:t>
            </w:r>
          </w:p>
        </w:tc>
      </w:tr>
      <w:tr w:rsidR="001A1811" w:rsidRPr="00AC503D" w:rsidTr="001A1811">
        <w:trPr>
          <w:trHeight w:val="288"/>
          <w:jc w:val="center"/>
        </w:trPr>
        <w:tc>
          <w:tcPr>
            <w:tcW w:w="13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0.098228536</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0.100664</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0.076751</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0.094464</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0.057761</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0.090129</w:t>
            </w:r>
          </w:p>
        </w:tc>
        <w:tc>
          <w:tcPr>
            <w:tcW w:w="960" w:type="dxa"/>
            <w:shd w:val="clear" w:color="auto" w:fill="auto"/>
            <w:noWrap/>
            <w:vAlign w:val="bottom"/>
            <w:hideMark/>
          </w:tcPr>
          <w:p w:rsidR="001A1811" w:rsidRPr="00AC503D" w:rsidRDefault="001A1811" w:rsidP="001A1811">
            <w:pPr>
              <w:spacing w:before="0" w:after="0"/>
              <w:jc w:val="right"/>
              <w:rPr>
                <w:sz w:val="18"/>
                <w:szCs w:val="18"/>
              </w:rPr>
            </w:pPr>
            <w:r w:rsidRPr="00AC503D">
              <w:rPr>
                <w:sz w:val="18"/>
                <w:szCs w:val="18"/>
              </w:rPr>
              <w:t>-0.01148</w:t>
            </w:r>
          </w:p>
        </w:tc>
        <w:tc>
          <w:tcPr>
            <w:tcW w:w="960" w:type="dxa"/>
            <w:shd w:val="clear" w:color="auto" w:fill="auto"/>
            <w:noWrap/>
            <w:vAlign w:val="bottom"/>
            <w:hideMark/>
          </w:tcPr>
          <w:p w:rsidR="001A1811" w:rsidRPr="00AC503D" w:rsidRDefault="001A1811" w:rsidP="001A1811">
            <w:pPr>
              <w:spacing w:before="0" w:after="0"/>
              <w:jc w:val="right"/>
              <w:rPr>
                <w:b/>
                <w:bCs/>
                <w:sz w:val="18"/>
                <w:szCs w:val="18"/>
              </w:rPr>
            </w:pPr>
            <w:r w:rsidRPr="00AC503D">
              <w:rPr>
                <w:b/>
                <w:bCs/>
                <w:sz w:val="18"/>
                <w:szCs w:val="18"/>
              </w:rPr>
              <w:t>0.506519</w:t>
            </w:r>
          </w:p>
        </w:tc>
      </w:tr>
      <w:tr w:rsidR="001A1811" w:rsidRPr="00AC503D" w:rsidTr="001A1811">
        <w:trPr>
          <w:trHeight w:val="288"/>
          <w:jc w:val="center"/>
        </w:trPr>
        <w:tc>
          <w:tcPr>
            <w:tcW w:w="1360" w:type="dxa"/>
            <w:shd w:val="clear" w:color="auto" w:fill="auto"/>
            <w:noWrap/>
            <w:vAlign w:val="bottom"/>
            <w:hideMark/>
          </w:tcPr>
          <w:p w:rsidR="001A1811" w:rsidRPr="00AC503D" w:rsidRDefault="001A1811" w:rsidP="001A1811">
            <w:pPr>
              <w:spacing w:before="0" w:after="0"/>
              <w:jc w:val="right"/>
              <w:rPr>
                <w:b/>
                <w:bCs/>
                <w:sz w:val="18"/>
                <w:szCs w:val="18"/>
              </w:rPr>
            </w:pPr>
            <w:r w:rsidRPr="00AC503D">
              <w:rPr>
                <w:b/>
                <w:bCs/>
                <w:sz w:val="18"/>
                <w:szCs w:val="18"/>
              </w:rPr>
              <w:t>1.725159332</w:t>
            </w:r>
          </w:p>
        </w:tc>
        <w:tc>
          <w:tcPr>
            <w:tcW w:w="960" w:type="dxa"/>
            <w:shd w:val="clear" w:color="auto" w:fill="auto"/>
            <w:noWrap/>
            <w:vAlign w:val="bottom"/>
            <w:hideMark/>
          </w:tcPr>
          <w:p w:rsidR="001A1811" w:rsidRPr="00AC503D" w:rsidRDefault="001A1811" w:rsidP="001A1811">
            <w:pPr>
              <w:spacing w:before="0" w:after="0"/>
              <w:jc w:val="right"/>
              <w:rPr>
                <w:b/>
                <w:bCs/>
                <w:sz w:val="18"/>
                <w:szCs w:val="18"/>
              </w:rPr>
            </w:pPr>
            <w:r w:rsidRPr="00AC503D">
              <w:rPr>
                <w:b/>
                <w:bCs/>
                <w:sz w:val="18"/>
                <w:szCs w:val="18"/>
              </w:rPr>
              <w:t>1.739533</w:t>
            </w:r>
          </w:p>
        </w:tc>
        <w:tc>
          <w:tcPr>
            <w:tcW w:w="960" w:type="dxa"/>
            <w:shd w:val="clear" w:color="auto" w:fill="auto"/>
            <w:noWrap/>
            <w:vAlign w:val="bottom"/>
            <w:hideMark/>
          </w:tcPr>
          <w:p w:rsidR="001A1811" w:rsidRPr="00AC503D" w:rsidRDefault="001A1811" w:rsidP="001A1811">
            <w:pPr>
              <w:spacing w:before="0" w:after="0"/>
              <w:jc w:val="right"/>
              <w:rPr>
                <w:b/>
                <w:bCs/>
                <w:sz w:val="18"/>
                <w:szCs w:val="18"/>
              </w:rPr>
            </w:pPr>
            <w:r w:rsidRPr="00AC503D">
              <w:rPr>
                <w:b/>
                <w:bCs/>
                <w:sz w:val="18"/>
                <w:szCs w:val="18"/>
              </w:rPr>
              <w:t>1.165245</w:t>
            </w:r>
          </w:p>
        </w:tc>
        <w:tc>
          <w:tcPr>
            <w:tcW w:w="960" w:type="dxa"/>
            <w:shd w:val="clear" w:color="auto" w:fill="auto"/>
            <w:noWrap/>
            <w:vAlign w:val="bottom"/>
            <w:hideMark/>
          </w:tcPr>
          <w:p w:rsidR="001A1811" w:rsidRPr="00AC503D" w:rsidRDefault="001A1811" w:rsidP="001A1811">
            <w:pPr>
              <w:spacing w:before="0" w:after="0"/>
              <w:jc w:val="right"/>
              <w:rPr>
                <w:b/>
                <w:bCs/>
                <w:sz w:val="18"/>
                <w:szCs w:val="18"/>
              </w:rPr>
            </w:pPr>
            <w:r w:rsidRPr="00AC503D">
              <w:rPr>
                <w:b/>
                <w:bCs/>
                <w:sz w:val="18"/>
                <w:szCs w:val="18"/>
              </w:rPr>
              <w:t>2.001932</w:t>
            </w:r>
          </w:p>
        </w:tc>
        <w:tc>
          <w:tcPr>
            <w:tcW w:w="960" w:type="dxa"/>
            <w:shd w:val="clear" w:color="auto" w:fill="auto"/>
            <w:noWrap/>
            <w:vAlign w:val="bottom"/>
            <w:hideMark/>
          </w:tcPr>
          <w:p w:rsidR="001A1811" w:rsidRPr="00AC503D" w:rsidRDefault="001A1811" w:rsidP="001A1811">
            <w:pPr>
              <w:spacing w:before="0" w:after="0"/>
              <w:jc w:val="right"/>
              <w:rPr>
                <w:b/>
                <w:bCs/>
                <w:sz w:val="18"/>
                <w:szCs w:val="18"/>
              </w:rPr>
            </w:pPr>
            <w:r w:rsidRPr="00AC503D">
              <w:rPr>
                <w:b/>
                <w:bCs/>
                <w:sz w:val="18"/>
                <w:szCs w:val="18"/>
              </w:rPr>
              <w:t>1.077404</w:t>
            </w:r>
          </w:p>
        </w:tc>
        <w:tc>
          <w:tcPr>
            <w:tcW w:w="960" w:type="dxa"/>
            <w:shd w:val="clear" w:color="auto" w:fill="auto"/>
            <w:noWrap/>
            <w:vAlign w:val="bottom"/>
            <w:hideMark/>
          </w:tcPr>
          <w:p w:rsidR="001A1811" w:rsidRPr="00AC503D" w:rsidRDefault="001A1811" w:rsidP="001A1811">
            <w:pPr>
              <w:spacing w:before="0" w:after="0"/>
              <w:jc w:val="right"/>
              <w:rPr>
                <w:b/>
                <w:bCs/>
                <w:sz w:val="18"/>
                <w:szCs w:val="18"/>
              </w:rPr>
            </w:pPr>
            <w:r w:rsidRPr="00AC503D">
              <w:rPr>
                <w:b/>
                <w:bCs/>
                <w:sz w:val="18"/>
                <w:szCs w:val="18"/>
              </w:rPr>
              <w:t>1.670974</w:t>
            </w:r>
          </w:p>
        </w:tc>
        <w:tc>
          <w:tcPr>
            <w:tcW w:w="960" w:type="dxa"/>
            <w:shd w:val="clear" w:color="auto" w:fill="auto"/>
            <w:noWrap/>
            <w:vAlign w:val="bottom"/>
            <w:hideMark/>
          </w:tcPr>
          <w:p w:rsidR="001A1811" w:rsidRPr="00AC503D" w:rsidRDefault="001A1811" w:rsidP="001A1811">
            <w:pPr>
              <w:spacing w:before="0" w:after="0"/>
              <w:jc w:val="right"/>
              <w:rPr>
                <w:b/>
                <w:bCs/>
                <w:sz w:val="18"/>
                <w:szCs w:val="18"/>
              </w:rPr>
            </w:pPr>
            <w:r w:rsidRPr="00AC503D">
              <w:rPr>
                <w:b/>
                <w:bCs/>
                <w:sz w:val="18"/>
                <w:szCs w:val="18"/>
              </w:rPr>
              <w:t>-0.16655</w:t>
            </w:r>
          </w:p>
        </w:tc>
        <w:tc>
          <w:tcPr>
            <w:tcW w:w="960" w:type="dxa"/>
            <w:shd w:val="clear" w:color="auto" w:fill="auto"/>
            <w:noWrap/>
            <w:vAlign w:val="bottom"/>
            <w:hideMark/>
          </w:tcPr>
          <w:p w:rsidR="001A1811" w:rsidRPr="00AC503D" w:rsidRDefault="001A1811" w:rsidP="001A1811">
            <w:pPr>
              <w:spacing w:before="0" w:after="0"/>
              <w:jc w:val="left"/>
              <w:rPr>
                <w:sz w:val="18"/>
                <w:szCs w:val="18"/>
              </w:rPr>
            </w:pPr>
          </w:p>
        </w:tc>
      </w:tr>
    </w:tbl>
    <w:p w:rsidR="002110C2" w:rsidRDefault="002110C2" w:rsidP="002110C2">
      <w:pPr>
        <w:spacing w:before="0" w:after="0"/>
        <w:jc w:val="left"/>
        <w:rPr>
          <w:szCs w:val="20"/>
          <w:lang w:eastAsia="en-IN"/>
        </w:rPr>
      </w:pPr>
      <w:r>
        <w:rPr>
          <w:szCs w:val="20"/>
          <w:lang w:eastAsia="en-IN"/>
        </w:rPr>
        <w:t xml:space="preserve"> </w:t>
      </w:r>
    </w:p>
    <w:p w:rsidR="001A1811" w:rsidRDefault="001A1811" w:rsidP="00401A38">
      <w:pPr>
        <w:spacing w:before="0" w:after="0"/>
        <w:jc w:val="both"/>
        <w:rPr>
          <w:szCs w:val="20"/>
          <w:lang w:eastAsia="en-IN"/>
        </w:rPr>
      </w:pPr>
      <w:r w:rsidRPr="00DC3BCC">
        <w:rPr>
          <w:szCs w:val="20"/>
          <w:lang w:eastAsia="en-IN"/>
        </w:rPr>
        <w:t>Table 8 shows the Total Relation Matrix (T) the direct relation matrix is multiplied by the inverse of the value that the direct relation matrix is subtracted from the identity matrix.</w:t>
      </w:r>
      <w:r>
        <w:rPr>
          <w:szCs w:val="20"/>
          <w:lang w:eastAsia="en-IN"/>
        </w:rPr>
        <w:t xml:space="preserve">  </w:t>
      </w:r>
    </w:p>
    <w:p w:rsidR="001A1811" w:rsidRDefault="001A1811" w:rsidP="001A1811">
      <w:pPr>
        <w:rPr>
          <w:szCs w:val="20"/>
          <w:lang w:eastAsia="en-IN"/>
        </w:rPr>
      </w:pPr>
    </w:p>
    <w:p w:rsidR="001A1811" w:rsidRDefault="001A1811" w:rsidP="001A1811">
      <w:pPr>
        <w:rPr>
          <w:b/>
          <w:szCs w:val="20"/>
        </w:rPr>
      </w:pPr>
      <w:r w:rsidRPr="00AC503D">
        <w:rPr>
          <w:b/>
          <w:noProof/>
          <w:szCs w:val="20"/>
        </w:rPr>
        <w:lastRenderedPageBreak/>
        <w:drawing>
          <wp:inline distT="0" distB="0" distL="0" distR="0">
            <wp:extent cx="4572000" cy="2743200"/>
            <wp:effectExtent l="1905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1811" w:rsidRDefault="002110C2" w:rsidP="001A1811">
      <w:pPr>
        <w:rPr>
          <w:szCs w:val="20"/>
          <w:lang w:eastAsia="en-IN"/>
        </w:rPr>
      </w:pPr>
      <w:r>
        <w:rPr>
          <w:szCs w:val="20"/>
          <w:shd w:val="clear" w:color="auto" w:fill="FFFFFF"/>
        </w:rPr>
        <w:t xml:space="preserve"> </w:t>
      </w:r>
      <w:r w:rsidR="001A1811">
        <w:rPr>
          <w:szCs w:val="20"/>
          <w:shd w:val="clear" w:color="auto" w:fill="FFFFFF"/>
        </w:rPr>
        <w:t xml:space="preserve"> </w:t>
      </w:r>
      <w:r w:rsidR="001A1811" w:rsidRPr="00F25FE0">
        <w:rPr>
          <w:b/>
          <w:szCs w:val="20"/>
          <w:lang w:eastAsia="en-IN"/>
        </w:rPr>
        <w:t xml:space="preserve">FIGURE </w:t>
      </w:r>
      <w:r w:rsidR="001A1811">
        <w:rPr>
          <w:b/>
          <w:szCs w:val="20"/>
          <w:lang w:eastAsia="en-IN"/>
        </w:rPr>
        <w:t>3.</w:t>
      </w:r>
      <w:r w:rsidR="001A1811" w:rsidRPr="00DC3BCC">
        <w:rPr>
          <w:szCs w:val="20"/>
          <w:lang w:eastAsia="en-IN"/>
        </w:rPr>
        <w:t>total Relation matrixes (T)</w:t>
      </w:r>
      <w:r w:rsidR="001A1811">
        <w:rPr>
          <w:szCs w:val="20"/>
          <w:lang w:eastAsia="en-IN"/>
        </w:rPr>
        <w:t xml:space="preserve"> </w:t>
      </w:r>
    </w:p>
    <w:p w:rsidR="001A1811" w:rsidRDefault="001A1811" w:rsidP="002110C2">
      <w:pPr>
        <w:jc w:val="both"/>
        <w:rPr>
          <w:szCs w:val="20"/>
          <w:lang w:eastAsia="en-IN"/>
        </w:rPr>
      </w:pPr>
      <w:r>
        <w:rPr>
          <w:szCs w:val="20"/>
          <w:lang w:eastAsia="en-IN"/>
        </w:rPr>
        <w:t xml:space="preserve">Figure 3 </w:t>
      </w:r>
      <w:r w:rsidRPr="00DC3BCC">
        <w:rPr>
          <w:szCs w:val="20"/>
          <w:lang w:eastAsia="en-IN"/>
        </w:rPr>
        <w:t xml:space="preserve">shows the Total Relation Matrix (T) the direct relation matrix is multiplied with the inverse of the value </w:t>
      </w:r>
      <w:r>
        <w:rPr>
          <w:szCs w:val="20"/>
          <w:lang w:eastAsia="en-IN"/>
        </w:rPr>
        <w:t xml:space="preserve">  </w:t>
      </w:r>
      <w:r w:rsidRPr="00DC3BCC">
        <w:rPr>
          <w:szCs w:val="20"/>
          <w:lang w:eastAsia="en-IN"/>
        </w:rPr>
        <w:t>that the direct relation matrix is subtracted from the identity matrix</w:t>
      </w:r>
      <w:r>
        <w:rPr>
          <w:szCs w:val="20"/>
          <w:lang w:eastAsia="en-IN"/>
        </w:rPr>
        <w:t>.</w:t>
      </w:r>
    </w:p>
    <w:p w:rsidR="001A1811" w:rsidRDefault="001A1811" w:rsidP="001A1811">
      <w:pPr>
        <w:rPr>
          <w:sz w:val="18"/>
          <w:szCs w:val="18"/>
          <w:lang w:eastAsia="en-IN"/>
        </w:rPr>
      </w:pPr>
      <w:r w:rsidRPr="00B16055">
        <w:rPr>
          <w:b/>
          <w:bCs/>
          <w:sz w:val="18"/>
          <w:szCs w:val="18"/>
          <w:lang w:eastAsia="en-IN"/>
        </w:rPr>
        <w:t xml:space="preserve">TABLE </w:t>
      </w:r>
      <w:r>
        <w:rPr>
          <w:b/>
          <w:bCs/>
          <w:sz w:val="18"/>
          <w:szCs w:val="18"/>
          <w:lang w:eastAsia="en-IN"/>
        </w:rPr>
        <w:t xml:space="preserve">9 </w:t>
      </w:r>
      <w:r w:rsidRPr="00B16055">
        <w:rPr>
          <w:sz w:val="18"/>
          <w:szCs w:val="18"/>
          <w:lang w:eastAsia="en-IN"/>
        </w:rPr>
        <w:t>Ri&amp; Ci Value</w:t>
      </w:r>
    </w:p>
    <w:tbl>
      <w:tblPr>
        <w:tblW w:w="1920"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tblGrid>
      <w:tr w:rsidR="001A1811" w:rsidRPr="00AC503D" w:rsidTr="001A1811">
        <w:trPr>
          <w:trHeight w:val="288"/>
          <w:jc w:val="center"/>
        </w:trPr>
        <w:tc>
          <w:tcPr>
            <w:tcW w:w="960" w:type="dxa"/>
            <w:shd w:val="clear" w:color="auto" w:fill="auto"/>
            <w:noWrap/>
            <w:vAlign w:val="bottom"/>
            <w:hideMark/>
          </w:tcPr>
          <w:p w:rsidR="001A1811" w:rsidRPr="00AC503D" w:rsidRDefault="002110C2" w:rsidP="002110C2">
            <w:pPr>
              <w:spacing w:before="0" w:after="0"/>
              <w:jc w:val="left"/>
              <w:rPr>
                <w:sz w:val="18"/>
                <w:szCs w:val="18"/>
              </w:rPr>
            </w:pPr>
            <w:r>
              <w:rPr>
                <w:sz w:val="16"/>
              </w:rPr>
              <w:t xml:space="preserve"> </w:t>
            </w:r>
            <w:r w:rsidR="001A1811">
              <w:rPr>
                <w:sz w:val="16"/>
              </w:rPr>
              <w:t xml:space="preserve"> </w:t>
            </w:r>
            <w:r w:rsidR="001A1811" w:rsidRPr="00AC503D">
              <w:rPr>
                <w:sz w:val="18"/>
                <w:szCs w:val="18"/>
              </w:rPr>
              <w:t>Ri</w:t>
            </w:r>
          </w:p>
        </w:tc>
        <w:tc>
          <w:tcPr>
            <w:tcW w:w="960" w:type="dxa"/>
            <w:shd w:val="clear" w:color="auto" w:fill="auto"/>
            <w:noWrap/>
            <w:vAlign w:val="bottom"/>
            <w:hideMark/>
          </w:tcPr>
          <w:p w:rsidR="001A1811" w:rsidRPr="00AC503D" w:rsidRDefault="001A1811" w:rsidP="002110C2">
            <w:pPr>
              <w:spacing w:before="0" w:after="0"/>
              <w:jc w:val="left"/>
              <w:rPr>
                <w:sz w:val="18"/>
                <w:szCs w:val="18"/>
              </w:rPr>
            </w:pPr>
            <w:r w:rsidRPr="00AC503D">
              <w:rPr>
                <w:sz w:val="18"/>
                <w:szCs w:val="18"/>
              </w:rPr>
              <w:t>Ci</w:t>
            </w:r>
          </w:p>
        </w:tc>
      </w:tr>
      <w:tr w:rsidR="001A1811" w:rsidRPr="00AC503D" w:rsidTr="001A1811">
        <w:trPr>
          <w:trHeight w:val="288"/>
          <w:jc w:val="center"/>
        </w:trPr>
        <w:tc>
          <w:tcPr>
            <w:tcW w:w="960" w:type="dxa"/>
            <w:shd w:val="clear" w:color="auto" w:fill="auto"/>
            <w:noWrap/>
            <w:vAlign w:val="bottom"/>
            <w:hideMark/>
          </w:tcPr>
          <w:p w:rsidR="001A1811" w:rsidRPr="00AC503D" w:rsidRDefault="001A1811" w:rsidP="002110C2">
            <w:pPr>
              <w:spacing w:before="0" w:after="0"/>
              <w:jc w:val="right"/>
              <w:rPr>
                <w:b/>
                <w:bCs/>
                <w:sz w:val="18"/>
                <w:szCs w:val="18"/>
              </w:rPr>
            </w:pPr>
            <w:r w:rsidRPr="00AC503D">
              <w:rPr>
                <w:b/>
                <w:bCs/>
                <w:sz w:val="18"/>
                <w:szCs w:val="18"/>
              </w:rPr>
              <w:t>1.980572</w:t>
            </w:r>
          </w:p>
        </w:tc>
        <w:tc>
          <w:tcPr>
            <w:tcW w:w="960" w:type="dxa"/>
            <w:shd w:val="clear" w:color="auto" w:fill="auto"/>
            <w:noWrap/>
            <w:vAlign w:val="bottom"/>
            <w:hideMark/>
          </w:tcPr>
          <w:p w:rsidR="001A1811" w:rsidRPr="00AC503D" w:rsidRDefault="001A1811" w:rsidP="002110C2">
            <w:pPr>
              <w:spacing w:before="0" w:after="0"/>
              <w:jc w:val="right"/>
              <w:rPr>
                <w:sz w:val="18"/>
                <w:szCs w:val="18"/>
              </w:rPr>
            </w:pPr>
            <w:r w:rsidRPr="00AC503D">
              <w:rPr>
                <w:sz w:val="18"/>
                <w:szCs w:val="18"/>
              </w:rPr>
              <w:t>1.725159</w:t>
            </w:r>
          </w:p>
        </w:tc>
      </w:tr>
      <w:tr w:rsidR="001A1811" w:rsidRPr="00AC503D" w:rsidTr="001A1811">
        <w:trPr>
          <w:trHeight w:val="288"/>
          <w:jc w:val="center"/>
        </w:trPr>
        <w:tc>
          <w:tcPr>
            <w:tcW w:w="960" w:type="dxa"/>
            <w:shd w:val="clear" w:color="auto" w:fill="auto"/>
            <w:noWrap/>
            <w:vAlign w:val="bottom"/>
            <w:hideMark/>
          </w:tcPr>
          <w:p w:rsidR="001A1811" w:rsidRPr="00AC503D" w:rsidRDefault="001A1811" w:rsidP="002110C2">
            <w:pPr>
              <w:spacing w:before="0" w:after="0"/>
              <w:jc w:val="right"/>
              <w:rPr>
                <w:b/>
                <w:bCs/>
                <w:sz w:val="18"/>
                <w:szCs w:val="18"/>
              </w:rPr>
            </w:pPr>
            <w:r w:rsidRPr="00AC503D">
              <w:rPr>
                <w:b/>
                <w:bCs/>
                <w:sz w:val="18"/>
                <w:szCs w:val="18"/>
              </w:rPr>
              <w:t>1.873399</w:t>
            </w:r>
          </w:p>
        </w:tc>
        <w:tc>
          <w:tcPr>
            <w:tcW w:w="960" w:type="dxa"/>
            <w:shd w:val="clear" w:color="auto" w:fill="auto"/>
            <w:noWrap/>
            <w:vAlign w:val="bottom"/>
            <w:hideMark/>
          </w:tcPr>
          <w:p w:rsidR="001A1811" w:rsidRPr="00AC503D" w:rsidRDefault="001A1811" w:rsidP="002110C2">
            <w:pPr>
              <w:spacing w:before="0" w:after="0"/>
              <w:jc w:val="right"/>
              <w:rPr>
                <w:sz w:val="18"/>
                <w:szCs w:val="18"/>
              </w:rPr>
            </w:pPr>
            <w:r w:rsidRPr="00AC503D">
              <w:rPr>
                <w:sz w:val="18"/>
                <w:szCs w:val="18"/>
              </w:rPr>
              <w:t>1.739533</w:t>
            </w:r>
          </w:p>
        </w:tc>
      </w:tr>
      <w:tr w:rsidR="001A1811" w:rsidRPr="00AC503D" w:rsidTr="001A1811">
        <w:trPr>
          <w:trHeight w:val="288"/>
          <w:jc w:val="center"/>
        </w:trPr>
        <w:tc>
          <w:tcPr>
            <w:tcW w:w="960" w:type="dxa"/>
            <w:shd w:val="clear" w:color="auto" w:fill="auto"/>
            <w:noWrap/>
            <w:vAlign w:val="bottom"/>
            <w:hideMark/>
          </w:tcPr>
          <w:p w:rsidR="001A1811" w:rsidRPr="00AC503D" w:rsidRDefault="001A1811" w:rsidP="002110C2">
            <w:pPr>
              <w:spacing w:before="0" w:after="0"/>
              <w:jc w:val="right"/>
              <w:rPr>
                <w:b/>
                <w:bCs/>
                <w:sz w:val="18"/>
                <w:szCs w:val="18"/>
              </w:rPr>
            </w:pPr>
            <w:r w:rsidRPr="00AC503D">
              <w:rPr>
                <w:b/>
                <w:bCs/>
                <w:sz w:val="18"/>
                <w:szCs w:val="18"/>
              </w:rPr>
              <w:t>1.694236</w:t>
            </w:r>
          </w:p>
        </w:tc>
        <w:tc>
          <w:tcPr>
            <w:tcW w:w="960" w:type="dxa"/>
            <w:shd w:val="clear" w:color="auto" w:fill="auto"/>
            <w:noWrap/>
            <w:vAlign w:val="bottom"/>
            <w:hideMark/>
          </w:tcPr>
          <w:p w:rsidR="001A1811" w:rsidRPr="00AC503D" w:rsidRDefault="001A1811" w:rsidP="002110C2">
            <w:pPr>
              <w:spacing w:before="0" w:after="0"/>
              <w:jc w:val="right"/>
              <w:rPr>
                <w:sz w:val="18"/>
                <w:szCs w:val="18"/>
              </w:rPr>
            </w:pPr>
            <w:r w:rsidRPr="00AC503D">
              <w:rPr>
                <w:sz w:val="18"/>
                <w:szCs w:val="18"/>
              </w:rPr>
              <w:t>1.165245</w:t>
            </w:r>
          </w:p>
        </w:tc>
      </w:tr>
      <w:tr w:rsidR="001A1811" w:rsidRPr="00AC503D" w:rsidTr="001A1811">
        <w:trPr>
          <w:trHeight w:val="288"/>
          <w:jc w:val="center"/>
        </w:trPr>
        <w:tc>
          <w:tcPr>
            <w:tcW w:w="960" w:type="dxa"/>
            <w:shd w:val="clear" w:color="auto" w:fill="auto"/>
            <w:noWrap/>
            <w:vAlign w:val="bottom"/>
            <w:hideMark/>
          </w:tcPr>
          <w:p w:rsidR="001A1811" w:rsidRPr="00AC503D" w:rsidRDefault="001A1811" w:rsidP="002110C2">
            <w:pPr>
              <w:spacing w:before="0" w:after="0"/>
              <w:jc w:val="right"/>
              <w:rPr>
                <w:b/>
                <w:bCs/>
                <w:sz w:val="18"/>
                <w:szCs w:val="18"/>
              </w:rPr>
            </w:pPr>
            <w:r w:rsidRPr="00AC503D">
              <w:rPr>
                <w:b/>
                <w:bCs/>
                <w:sz w:val="18"/>
                <w:szCs w:val="18"/>
              </w:rPr>
              <w:t>1.286964</w:t>
            </w:r>
          </w:p>
        </w:tc>
        <w:tc>
          <w:tcPr>
            <w:tcW w:w="960" w:type="dxa"/>
            <w:shd w:val="clear" w:color="auto" w:fill="auto"/>
            <w:noWrap/>
            <w:vAlign w:val="bottom"/>
            <w:hideMark/>
          </w:tcPr>
          <w:p w:rsidR="001A1811" w:rsidRPr="00AC503D" w:rsidRDefault="001A1811" w:rsidP="002110C2">
            <w:pPr>
              <w:spacing w:before="0" w:after="0"/>
              <w:jc w:val="right"/>
              <w:rPr>
                <w:sz w:val="18"/>
                <w:szCs w:val="18"/>
              </w:rPr>
            </w:pPr>
            <w:r w:rsidRPr="00AC503D">
              <w:rPr>
                <w:sz w:val="18"/>
                <w:szCs w:val="18"/>
              </w:rPr>
              <w:t>2.001932</w:t>
            </w:r>
          </w:p>
        </w:tc>
      </w:tr>
      <w:tr w:rsidR="001A1811" w:rsidRPr="00AC503D" w:rsidTr="001A1811">
        <w:trPr>
          <w:trHeight w:val="288"/>
          <w:jc w:val="center"/>
        </w:trPr>
        <w:tc>
          <w:tcPr>
            <w:tcW w:w="960" w:type="dxa"/>
            <w:shd w:val="clear" w:color="auto" w:fill="auto"/>
            <w:noWrap/>
            <w:vAlign w:val="bottom"/>
            <w:hideMark/>
          </w:tcPr>
          <w:p w:rsidR="001A1811" w:rsidRPr="00AC503D" w:rsidRDefault="001A1811" w:rsidP="002110C2">
            <w:pPr>
              <w:spacing w:before="0" w:after="0"/>
              <w:jc w:val="right"/>
              <w:rPr>
                <w:b/>
                <w:bCs/>
                <w:sz w:val="18"/>
                <w:szCs w:val="18"/>
              </w:rPr>
            </w:pPr>
            <w:r w:rsidRPr="00AC503D">
              <w:rPr>
                <w:b/>
                <w:bCs/>
                <w:sz w:val="18"/>
                <w:szCs w:val="18"/>
              </w:rPr>
              <w:t>1.072279</w:t>
            </w:r>
          </w:p>
        </w:tc>
        <w:tc>
          <w:tcPr>
            <w:tcW w:w="960" w:type="dxa"/>
            <w:shd w:val="clear" w:color="auto" w:fill="auto"/>
            <w:noWrap/>
            <w:vAlign w:val="bottom"/>
            <w:hideMark/>
          </w:tcPr>
          <w:p w:rsidR="001A1811" w:rsidRPr="00AC503D" w:rsidRDefault="001A1811" w:rsidP="002110C2">
            <w:pPr>
              <w:spacing w:before="0" w:after="0"/>
              <w:jc w:val="right"/>
              <w:rPr>
                <w:sz w:val="18"/>
                <w:szCs w:val="18"/>
              </w:rPr>
            </w:pPr>
            <w:r w:rsidRPr="00AC503D">
              <w:rPr>
                <w:sz w:val="18"/>
                <w:szCs w:val="18"/>
              </w:rPr>
              <w:t>1.077404</w:t>
            </w:r>
          </w:p>
        </w:tc>
      </w:tr>
      <w:tr w:rsidR="001A1811" w:rsidRPr="00AC503D" w:rsidTr="001A1811">
        <w:trPr>
          <w:trHeight w:val="288"/>
          <w:jc w:val="center"/>
        </w:trPr>
        <w:tc>
          <w:tcPr>
            <w:tcW w:w="960" w:type="dxa"/>
            <w:shd w:val="clear" w:color="auto" w:fill="auto"/>
            <w:noWrap/>
            <w:vAlign w:val="bottom"/>
            <w:hideMark/>
          </w:tcPr>
          <w:p w:rsidR="001A1811" w:rsidRPr="00AC503D" w:rsidRDefault="001A1811" w:rsidP="002110C2">
            <w:pPr>
              <w:spacing w:before="0" w:after="0"/>
              <w:jc w:val="right"/>
              <w:rPr>
                <w:b/>
                <w:bCs/>
                <w:sz w:val="18"/>
                <w:szCs w:val="18"/>
              </w:rPr>
            </w:pPr>
            <w:r w:rsidRPr="00AC503D">
              <w:rPr>
                <w:b/>
                <w:bCs/>
                <w:sz w:val="18"/>
                <w:szCs w:val="18"/>
              </w:rPr>
              <w:t>0.799733</w:t>
            </w:r>
          </w:p>
        </w:tc>
        <w:tc>
          <w:tcPr>
            <w:tcW w:w="960" w:type="dxa"/>
            <w:shd w:val="clear" w:color="auto" w:fill="auto"/>
            <w:noWrap/>
            <w:vAlign w:val="bottom"/>
            <w:hideMark/>
          </w:tcPr>
          <w:p w:rsidR="001A1811" w:rsidRPr="00AC503D" w:rsidRDefault="001A1811" w:rsidP="002110C2">
            <w:pPr>
              <w:spacing w:before="0" w:after="0"/>
              <w:jc w:val="right"/>
              <w:rPr>
                <w:sz w:val="18"/>
                <w:szCs w:val="18"/>
              </w:rPr>
            </w:pPr>
            <w:r w:rsidRPr="00AC503D">
              <w:rPr>
                <w:sz w:val="18"/>
                <w:szCs w:val="18"/>
              </w:rPr>
              <w:t>1.670974</w:t>
            </w:r>
          </w:p>
        </w:tc>
      </w:tr>
      <w:tr w:rsidR="001A1811" w:rsidRPr="00AC503D" w:rsidTr="001A1811">
        <w:trPr>
          <w:trHeight w:val="288"/>
          <w:jc w:val="center"/>
        </w:trPr>
        <w:tc>
          <w:tcPr>
            <w:tcW w:w="960" w:type="dxa"/>
            <w:shd w:val="clear" w:color="auto" w:fill="auto"/>
            <w:noWrap/>
            <w:vAlign w:val="bottom"/>
            <w:hideMark/>
          </w:tcPr>
          <w:p w:rsidR="001A1811" w:rsidRPr="00AC503D" w:rsidRDefault="001A1811" w:rsidP="002110C2">
            <w:pPr>
              <w:spacing w:before="0" w:after="0"/>
              <w:jc w:val="right"/>
              <w:rPr>
                <w:b/>
                <w:bCs/>
                <w:sz w:val="18"/>
                <w:szCs w:val="18"/>
              </w:rPr>
            </w:pPr>
            <w:r w:rsidRPr="00AC503D">
              <w:rPr>
                <w:b/>
                <w:bCs/>
                <w:sz w:val="18"/>
                <w:szCs w:val="18"/>
              </w:rPr>
              <w:t>0.506519</w:t>
            </w:r>
          </w:p>
        </w:tc>
        <w:tc>
          <w:tcPr>
            <w:tcW w:w="960" w:type="dxa"/>
            <w:shd w:val="clear" w:color="auto" w:fill="auto"/>
            <w:noWrap/>
            <w:vAlign w:val="bottom"/>
            <w:hideMark/>
          </w:tcPr>
          <w:p w:rsidR="001A1811" w:rsidRPr="00AC503D" w:rsidRDefault="001A1811" w:rsidP="002110C2">
            <w:pPr>
              <w:spacing w:before="0" w:after="0"/>
              <w:jc w:val="right"/>
              <w:rPr>
                <w:sz w:val="18"/>
                <w:szCs w:val="18"/>
              </w:rPr>
            </w:pPr>
            <w:r w:rsidRPr="00AC503D">
              <w:rPr>
                <w:sz w:val="18"/>
                <w:szCs w:val="18"/>
              </w:rPr>
              <w:t>-0.16655</w:t>
            </w:r>
          </w:p>
        </w:tc>
      </w:tr>
    </w:tbl>
    <w:p w:rsidR="001A1811" w:rsidRDefault="002110C2" w:rsidP="002110C2">
      <w:pPr>
        <w:spacing w:before="0" w:after="0"/>
        <w:rPr>
          <w:szCs w:val="20"/>
        </w:rPr>
      </w:pPr>
      <w:r>
        <w:rPr>
          <w:szCs w:val="20"/>
        </w:rPr>
        <w:t xml:space="preserve">  </w:t>
      </w:r>
      <w:r w:rsidR="001A1811">
        <w:rPr>
          <w:szCs w:val="20"/>
        </w:rPr>
        <w:t xml:space="preserve"> </w:t>
      </w:r>
    </w:p>
    <w:p w:rsidR="001A1811" w:rsidRDefault="001A1811" w:rsidP="00401A38">
      <w:pPr>
        <w:jc w:val="both"/>
        <w:rPr>
          <w:szCs w:val="20"/>
        </w:rPr>
      </w:pPr>
      <w:r>
        <w:rPr>
          <w:szCs w:val="20"/>
        </w:rPr>
        <w:t xml:space="preserve">     </w:t>
      </w:r>
      <w:r w:rsidRPr="00CC2694">
        <w:rPr>
          <w:szCs w:val="20"/>
          <w:lang w:eastAsia="en-IN"/>
        </w:rPr>
        <w:t xml:space="preserve">Table 9 shows the </w:t>
      </w:r>
      <w:r>
        <w:rPr>
          <w:szCs w:val="20"/>
        </w:rPr>
        <w:t xml:space="preserve">Ri &amp; </w:t>
      </w:r>
      <w:r w:rsidRPr="00CC2694">
        <w:rPr>
          <w:szCs w:val="20"/>
        </w:rPr>
        <w:t>Ci Value</w:t>
      </w:r>
      <w:r w:rsidRPr="00A36B34">
        <w:rPr>
          <w:sz w:val="18"/>
        </w:rPr>
        <w:t xml:space="preserve"> </w:t>
      </w:r>
      <w:r w:rsidRPr="00711044">
        <w:rPr>
          <w:sz w:val="18"/>
        </w:rPr>
        <w:t>Analysis of sleep disorders in women</w:t>
      </w:r>
      <w:r>
        <w:rPr>
          <w:szCs w:val="20"/>
        </w:rPr>
        <w:t xml:space="preserve"> </w:t>
      </w:r>
    </w:p>
    <w:p w:rsidR="001A1811" w:rsidRPr="006C150A" w:rsidRDefault="001A1811" w:rsidP="001A1811">
      <w:pPr>
        <w:rPr>
          <w:sz w:val="16"/>
        </w:rPr>
      </w:pPr>
      <w:r w:rsidRPr="00651340">
        <w:rPr>
          <w:noProof/>
          <w:sz w:val="16"/>
        </w:rPr>
        <w:drawing>
          <wp:inline distT="0" distB="0" distL="0" distR="0">
            <wp:extent cx="4572000" cy="2743200"/>
            <wp:effectExtent l="1905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1811" w:rsidRDefault="002110C2" w:rsidP="002110C2">
      <w:pPr>
        <w:rPr>
          <w:bCs/>
          <w:sz w:val="18"/>
          <w:szCs w:val="18"/>
        </w:rPr>
      </w:pPr>
      <w:r>
        <w:rPr>
          <w:sz w:val="16"/>
        </w:rPr>
        <w:t xml:space="preserve">  </w:t>
      </w:r>
      <w:r w:rsidR="001A1811">
        <w:rPr>
          <w:b/>
          <w:szCs w:val="20"/>
        </w:rPr>
        <w:t xml:space="preserve"> FIGURE 4</w:t>
      </w:r>
      <w:r w:rsidR="001A1811" w:rsidRPr="00DC3BCC">
        <w:rPr>
          <w:b/>
          <w:szCs w:val="20"/>
        </w:rPr>
        <w:t>.</w:t>
      </w:r>
      <w:r w:rsidR="001A1811" w:rsidRPr="00DF009E">
        <w:rPr>
          <w:bCs/>
          <w:sz w:val="18"/>
          <w:szCs w:val="18"/>
        </w:rPr>
        <w:t>Total Relation Matrix (T) Ri, Ci Value</w:t>
      </w:r>
    </w:p>
    <w:p w:rsidR="001A1811" w:rsidRDefault="001A1811" w:rsidP="009A2B45">
      <w:pPr>
        <w:ind w:firstLine="284"/>
        <w:jc w:val="both"/>
        <w:rPr>
          <w:szCs w:val="20"/>
        </w:rPr>
      </w:pPr>
      <w:r w:rsidRPr="00D47FC9">
        <w:rPr>
          <w:szCs w:val="20"/>
          <w:lang w:eastAsia="en-IN"/>
        </w:rPr>
        <w:lastRenderedPageBreak/>
        <w:t>Figure</w:t>
      </w:r>
      <w:r w:rsidR="002110C2">
        <w:rPr>
          <w:szCs w:val="20"/>
          <w:lang w:eastAsia="en-IN"/>
        </w:rPr>
        <w:t xml:space="preserve"> 4 </w:t>
      </w:r>
      <w:r w:rsidR="002110C2">
        <w:rPr>
          <w:szCs w:val="20"/>
        </w:rPr>
        <w:t>illustrate graphical representation of total relation (T) Ri, Ci value</w:t>
      </w:r>
    </w:p>
    <w:p w:rsidR="001A1811" w:rsidRDefault="002110C2" w:rsidP="001A1811">
      <w:pPr>
        <w:rPr>
          <w:sz w:val="18"/>
          <w:szCs w:val="18"/>
        </w:rPr>
      </w:pPr>
      <w:r>
        <w:rPr>
          <w:b/>
          <w:sz w:val="18"/>
          <w:szCs w:val="18"/>
        </w:rPr>
        <w:t xml:space="preserve">  </w:t>
      </w:r>
      <w:r w:rsidR="001A1811">
        <w:rPr>
          <w:b/>
          <w:sz w:val="18"/>
          <w:szCs w:val="18"/>
        </w:rPr>
        <w:t>TABLE 10 c</w:t>
      </w:r>
      <w:r w:rsidR="001A1811" w:rsidRPr="00603CE7">
        <w:rPr>
          <w:sz w:val="18"/>
          <w:szCs w:val="18"/>
        </w:rPr>
        <w:t>alculation of Ri</w:t>
      </w:r>
      <w:r w:rsidR="001A1811">
        <w:rPr>
          <w:sz w:val="18"/>
          <w:szCs w:val="18"/>
        </w:rPr>
        <w:t>+Ci and Ri-Ci To Get The Cause a</w:t>
      </w:r>
      <w:r w:rsidR="001A1811" w:rsidRPr="00603CE7">
        <w:rPr>
          <w:sz w:val="18"/>
          <w:szCs w:val="18"/>
        </w:rPr>
        <w:t>nd Effect</w:t>
      </w:r>
      <w:r w:rsidR="001A1811">
        <w:rPr>
          <w:sz w:val="18"/>
          <w:szCs w:val="18"/>
        </w:rPr>
        <w:t xml:space="preserve"> Rank</w:t>
      </w:r>
    </w:p>
    <w:tbl>
      <w:tblPr>
        <w:tblW w:w="5817"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960"/>
        <w:gridCol w:w="960"/>
        <w:gridCol w:w="960"/>
        <w:gridCol w:w="960"/>
      </w:tblGrid>
      <w:tr w:rsidR="001A1811" w:rsidRPr="00D23B2F" w:rsidTr="001A1811">
        <w:trPr>
          <w:trHeight w:val="288"/>
          <w:jc w:val="center"/>
        </w:trPr>
        <w:tc>
          <w:tcPr>
            <w:tcW w:w="1977" w:type="dxa"/>
            <w:shd w:val="clear" w:color="auto" w:fill="auto"/>
            <w:noWrap/>
            <w:vAlign w:val="bottom"/>
            <w:hideMark/>
          </w:tcPr>
          <w:p w:rsidR="001A1811" w:rsidRPr="00D23B2F" w:rsidRDefault="002110C2" w:rsidP="002110C2">
            <w:pPr>
              <w:spacing w:before="0" w:after="0"/>
              <w:rPr>
                <w:sz w:val="18"/>
                <w:szCs w:val="18"/>
              </w:rPr>
            </w:pPr>
            <w:r>
              <w:rPr>
                <w:sz w:val="18"/>
                <w:szCs w:val="18"/>
              </w:rPr>
              <w:t xml:space="preserve">    </w:t>
            </w:r>
          </w:p>
        </w:tc>
        <w:tc>
          <w:tcPr>
            <w:tcW w:w="960" w:type="dxa"/>
            <w:shd w:val="clear" w:color="auto" w:fill="auto"/>
            <w:noWrap/>
            <w:vAlign w:val="bottom"/>
            <w:hideMark/>
          </w:tcPr>
          <w:p w:rsidR="001A1811" w:rsidRPr="00D23B2F" w:rsidRDefault="001A1811" w:rsidP="002110C2">
            <w:pPr>
              <w:spacing w:before="0" w:after="0"/>
              <w:rPr>
                <w:b/>
                <w:bCs/>
                <w:sz w:val="18"/>
                <w:szCs w:val="18"/>
              </w:rPr>
            </w:pPr>
            <w:r w:rsidRPr="00D23B2F">
              <w:rPr>
                <w:b/>
                <w:bCs/>
                <w:sz w:val="18"/>
                <w:szCs w:val="18"/>
              </w:rPr>
              <w:t>Ri+Ci</w:t>
            </w:r>
          </w:p>
        </w:tc>
        <w:tc>
          <w:tcPr>
            <w:tcW w:w="960" w:type="dxa"/>
            <w:shd w:val="clear" w:color="auto" w:fill="auto"/>
            <w:noWrap/>
            <w:vAlign w:val="bottom"/>
            <w:hideMark/>
          </w:tcPr>
          <w:p w:rsidR="001A1811" w:rsidRPr="00D23B2F" w:rsidRDefault="001A1811" w:rsidP="002110C2">
            <w:pPr>
              <w:spacing w:before="0" w:after="0"/>
              <w:rPr>
                <w:b/>
                <w:bCs/>
                <w:sz w:val="18"/>
                <w:szCs w:val="18"/>
              </w:rPr>
            </w:pPr>
            <w:r w:rsidRPr="00D23B2F">
              <w:rPr>
                <w:b/>
                <w:bCs/>
                <w:sz w:val="18"/>
                <w:szCs w:val="18"/>
              </w:rPr>
              <w:t>Ri-Ci</w:t>
            </w:r>
          </w:p>
        </w:tc>
        <w:tc>
          <w:tcPr>
            <w:tcW w:w="960" w:type="dxa"/>
            <w:shd w:val="clear" w:color="auto" w:fill="auto"/>
            <w:noWrap/>
            <w:vAlign w:val="bottom"/>
            <w:hideMark/>
          </w:tcPr>
          <w:p w:rsidR="001A1811" w:rsidRPr="00D23B2F" w:rsidRDefault="001A1811" w:rsidP="002110C2">
            <w:pPr>
              <w:spacing w:before="0" w:after="0"/>
              <w:rPr>
                <w:b/>
                <w:bCs/>
                <w:sz w:val="18"/>
                <w:szCs w:val="18"/>
              </w:rPr>
            </w:pPr>
            <w:r w:rsidRPr="00D23B2F">
              <w:rPr>
                <w:b/>
                <w:bCs/>
                <w:sz w:val="18"/>
                <w:szCs w:val="18"/>
              </w:rPr>
              <w:t>Identity</w:t>
            </w:r>
          </w:p>
        </w:tc>
        <w:tc>
          <w:tcPr>
            <w:tcW w:w="960" w:type="dxa"/>
            <w:shd w:val="clear" w:color="auto" w:fill="auto"/>
            <w:noWrap/>
            <w:vAlign w:val="bottom"/>
            <w:hideMark/>
          </w:tcPr>
          <w:p w:rsidR="001A1811" w:rsidRPr="00D23B2F" w:rsidRDefault="001A1811" w:rsidP="002110C2">
            <w:pPr>
              <w:spacing w:before="0" w:after="0"/>
              <w:rPr>
                <w:b/>
                <w:bCs/>
                <w:sz w:val="18"/>
                <w:szCs w:val="18"/>
              </w:rPr>
            </w:pPr>
            <w:r>
              <w:rPr>
                <w:b/>
                <w:bCs/>
                <w:sz w:val="18"/>
                <w:szCs w:val="18"/>
              </w:rPr>
              <w:t>Rank</w:t>
            </w:r>
          </w:p>
        </w:tc>
      </w:tr>
      <w:tr w:rsidR="001A1811" w:rsidRPr="00D23B2F" w:rsidTr="001A1811">
        <w:trPr>
          <w:trHeight w:val="288"/>
          <w:jc w:val="center"/>
        </w:trPr>
        <w:tc>
          <w:tcPr>
            <w:tcW w:w="1977" w:type="dxa"/>
            <w:shd w:val="clear" w:color="auto" w:fill="auto"/>
            <w:noWrap/>
            <w:vAlign w:val="bottom"/>
            <w:hideMark/>
          </w:tcPr>
          <w:p w:rsidR="001A1811" w:rsidRPr="002110C2" w:rsidRDefault="001A1811" w:rsidP="002110C2">
            <w:pPr>
              <w:spacing w:before="0" w:after="0"/>
              <w:rPr>
                <w:b/>
                <w:sz w:val="18"/>
                <w:szCs w:val="18"/>
              </w:rPr>
            </w:pPr>
            <w:r w:rsidRPr="002110C2">
              <w:rPr>
                <w:b/>
                <w:sz w:val="18"/>
                <w:szCs w:val="18"/>
              </w:rPr>
              <w:t>Insomnia</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3.705731</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0.255412</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effect</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3</w:t>
            </w:r>
          </w:p>
        </w:tc>
      </w:tr>
      <w:tr w:rsidR="001A1811" w:rsidRPr="00D23B2F" w:rsidTr="001A1811">
        <w:trPr>
          <w:trHeight w:val="288"/>
          <w:jc w:val="center"/>
        </w:trPr>
        <w:tc>
          <w:tcPr>
            <w:tcW w:w="1977" w:type="dxa"/>
            <w:shd w:val="clear" w:color="auto" w:fill="auto"/>
            <w:noWrap/>
            <w:vAlign w:val="bottom"/>
            <w:hideMark/>
          </w:tcPr>
          <w:p w:rsidR="001A1811" w:rsidRPr="002110C2" w:rsidRDefault="001A1811" w:rsidP="002110C2">
            <w:pPr>
              <w:spacing w:before="0" w:after="0"/>
              <w:rPr>
                <w:b/>
                <w:sz w:val="18"/>
                <w:szCs w:val="18"/>
              </w:rPr>
            </w:pPr>
            <w:r w:rsidRPr="002110C2">
              <w:rPr>
                <w:b/>
                <w:sz w:val="18"/>
                <w:szCs w:val="18"/>
              </w:rPr>
              <w:t>SDB</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3.612933</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0.133866</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effect</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4</w:t>
            </w:r>
          </w:p>
        </w:tc>
      </w:tr>
      <w:tr w:rsidR="001A1811" w:rsidRPr="00D23B2F" w:rsidTr="001A1811">
        <w:trPr>
          <w:trHeight w:val="288"/>
          <w:jc w:val="center"/>
        </w:trPr>
        <w:tc>
          <w:tcPr>
            <w:tcW w:w="1977" w:type="dxa"/>
            <w:shd w:val="clear" w:color="auto" w:fill="auto"/>
            <w:noWrap/>
            <w:vAlign w:val="bottom"/>
            <w:hideMark/>
          </w:tcPr>
          <w:p w:rsidR="001A1811" w:rsidRPr="002110C2" w:rsidRDefault="001A1811" w:rsidP="002110C2">
            <w:pPr>
              <w:spacing w:before="0" w:after="0"/>
              <w:rPr>
                <w:b/>
                <w:sz w:val="18"/>
                <w:szCs w:val="18"/>
              </w:rPr>
            </w:pPr>
            <w:r w:rsidRPr="002110C2">
              <w:rPr>
                <w:b/>
                <w:sz w:val="18"/>
                <w:szCs w:val="18"/>
              </w:rPr>
              <w:t>RLS</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2.859481</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0.528991</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cause</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2</w:t>
            </w:r>
          </w:p>
        </w:tc>
      </w:tr>
      <w:tr w:rsidR="001A1811" w:rsidRPr="00D23B2F" w:rsidTr="001A1811">
        <w:trPr>
          <w:trHeight w:val="288"/>
          <w:jc w:val="center"/>
        </w:trPr>
        <w:tc>
          <w:tcPr>
            <w:tcW w:w="1977" w:type="dxa"/>
            <w:shd w:val="clear" w:color="auto" w:fill="auto"/>
            <w:noWrap/>
            <w:vAlign w:val="bottom"/>
            <w:hideMark/>
          </w:tcPr>
          <w:p w:rsidR="001A1811" w:rsidRPr="002110C2" w:rsidRDefault="001A1811" w:rsidP="002110C2">
            <w:pPr>
              <w:spacing w:before="0" w:after="0"/>
              <w:rPr>
                <w:b/>
                <w:sz w:val="18"/>
                <w:szCs w:val="18"/>
              </w:rPr>
            </w:pPr>
            <w:r w:rsidRPr="002110C2">
              <w:rPr>
                <w:b/>
                <w:sz w:val="18"/>
                <w:szCs w:val="18"/>
              </w:rPr>
              <w:t>ESD</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3.288897</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-0.71497</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effect</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6</w:t>
            </w:r>
          </w:p>
        </w:tc>
      </w:tr>
      <w:tr w:rsidR="001A1811" w:rsidRPr="00D23B2F" w:rsidTr="001A1811">
        <w:trPr>
          <w:trHeight w:val="288"/>
          <w:jc w:val="center"/>
        </w:trPr>
        <w:tc>
          <w:tcPr>
            <w:tcW w:w="1977" w:type="dxa"/>
            <w:shd w:val="clear" w:color="auto" w:fill="auto"/>
            <w:noWrap/>
            <w:vAlign w:val="bottom"/>
            <w:hideMark/>
          </w:tcPr>
          <w:p w:rsidR="001A1811" w:rsidRPr="002110C2" w:rsidRDefault="001A1811" w:rsidP="002110C2">
            <w:pPr>
              <w:spacing w:before="0" w:after="0"/>
              <w:rPr>
                <w:b/>
                <w:sz w:val="18"/>
                <w:szCs w:val="18"/>
              </w:rPr>
            </w:pPr>
            <w:r w:rsidRPr="002110C2">
              <w:rPr>
                <w:b/>
                <w:sz w:val="18"/>
                <w:szCs w:val="18"/>
              </w:rPr>
              <w:t>NGH</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2.149683</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-0.00513</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cause</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5</w:t>
            </w:r>
          </w:p>
        </w:tc>
      </w:tr>
      <w:tr w:rsidR="001A1811" w:rsidRPr="00D23B2F" w:rsidTr="001A1811">
        <w:trPr>
          <w:trHeight w:val="300"/>
          <w:jc w:val="center"/>
        </w:trPr>
        <w:tc>
          <w:tcPr>
            <w:tcW w:w="1977" w:type="dxa"/>
            <w:shd w:val="clear" w:color="auto" w:fill="auto"/>
            <w:noWrap/>
            <w:vAlign w:val="bottom"/>
            <w:hideMark/>
          </w:tcPr>
          <w:p w:rsidR="001A1811" w:rsidRPr="002110C2" w:rsidRDefault="001A1811" w:rsidP="002110C2">
            <w:pPr>
              <w:spacing w:before="0" w:after="0"/>
              <w:rPr>
                <w:b/>
                <w:sz w:val="18"/>
                <w:szCs w:val="18"/>
              </w:rPr>
            </w:pPr>
            <w:r w:rsidRPr="002110C2">
              <w:rPr>
                <w:b/>
                <w:sz w:val="18"/>
                <w:szCs w:val="18"/>
              </w:rPr>
              <w:t>Hypersomnia</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2.470707</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-0.87124</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cause</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7</w:t>
            </w:r>
          </w:p>
        </w:tc>
      </w:tr>
      <w:tr w:rsidR="001A1811" w:rsidRPr="00D23B2F" w:rsidTr="001A1811">
        <w:trPr>
          <w:trHeight w:val="300"/>
          <w:jc w:val="center"/>
        </w:trPr>
        <w:tc>
          <w:tcPr>
            <w:tcW w:w="1977" w:type="dxa"/>
            <w:shd w:val="clear" w:color="auto" w:fill="auto"/>
            <w:noWrap/>
            <w:vAlign w:val="bottom"/>
            <w:hideMark/>
          </w:tcPr>
          <w:p w:rsidR="001A1811" w:rsidRPr="002110C2" w:rsidRDefault="001A1811" w:rsidP="002110C2">
            <w:pPr>
              <w:spacing w:before="0" w:after="0"/>
              <w:rPr>
                <w:b/>
                <w:sz w:val="18"/>
                <w:szCs w:val="18"/>
              </w:rPr>
            </w:pPr>
            <w:r w:rsidRPr="002110C2">
              <w:rPr>
                <w:b/>
                <w:sz w:val="18"/>
                <w:szCs w:val="18"/>
              </w:rPr>
              <w:t>Environmental Factors</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0.339972</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0.673065</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cause</w:t>
            </w:r>
          </w:p>
        </w:tc>
        <w:tc>
          <w:tcPr>
            <w:tcW w:w="960" w:type="dxa"/>
            <w:shd w:val="clear" w:color="auto" w:fill="auto"/>
            <w:noWrap/>
            <w:vAlign w:val="bottom"/>
            <w:hideMark/>
          </w:tcPr>
          <w:p w:rsidR="001A1811" w:rsidRPr="00D23B2F" w:rsidRDefault="001A1811" w:rsidP="002110C2">
            <w:pPr>
              <w:spacing w:before="0" w:after="0"/>
              <w:rPr>
                <w:sz w:val="18"/>
                <w:szCs w:val="18"/>
              </w:rPr>
            </w:pPr>
            <w:r w:rsidRPr="00D23B2F">
              <w:rPr>
                <w:sz w:val="18"/>
                <w:szCs w:val="18"/>
              </w:rPr>
              <w:t>1</w:t>
            </w:r>
          </w:p>
        </w:tc>
      </w:tr>
    </w:tbl>
    <w:p w:rsidR="001A1811" w:rsidRDefault="001A1811" w:rsidP="002110C2">
      <w:pPr>
        <w:spacing w:before="0" w:after="0"/>
        <w:rPr>
          <w:sz w:val="18"/>
          <w:szCs w:val="18"/>
        </w:rPr>
      </w:pPr>
      <w:r>
        <w:rPr>
          <w:sz w:val="18"/>
          <w:szCs w:val="18"/>
        </w:rPr>
        <w:t xml:space="preserve">   </w:t>
      </w:r>
    </w:p>
    <w:p w:rsidR="001A1811" w:rsidRDefault="001A1811" w:rsidP="009A2B45">
      <w:pPr>
        <w:jc w:val="both"/>
        <w:rPr>
          <w:szCs w:val="20"/>
        </w:rPr>
      </w:pPr>
      <w:r>
        <w:rPr>
          <w:szCs w:val="20"/>
        </w:rPr>
        <w:t xml:space="preserve">Table 10 </w:t>
      </w:r>
      <w:r w:rsidRPr="00DF009E">
        <w:rPr>
          <w:szCs w:val="20"/>
          <w:lang w:eastAsia="en-IN"/>
        </w:rPr>
        <w:t xml:space="preserve">shows the </w:t>
      </w:r>
      <w:r w:rsidRPr="00DF009E">
        <w:rPr>
          <w:szCs w:val="20"/>
        </w:rPr>
        <w:t>Calculation of Ri+Ci and Ri-Ci to Get the Cause and Effect.</w:t>
      </w:r>
      <w:r w:rsidRPr="00AA6C1B">
        <w:rPr>
          <w:szCs w:val="20"/>
        </w:rPr>
        <w:t xml:space="preserve"> </w:t>
      </w:r>
    </w:p>
    <w:p w:rsidR="001A1811" w:rsidRDefault="001A1811" w:rsidP="001A1811">
      <w:pPr>
        <w:rPr>
          <w:bCs/>
          <w:szCs w:val="20"/>
        </w:rPr>
      </w:pPr>
      <w:r>
        <w:rPr>
          <w:b/>
          <w:szCs w:val="20"/>
        </w:rPr>
        <w:t xml:space="preserve"> TABLE 11</w:t>
      </w:r>
      <w:r w:rsidRPr="00DC3BCC">
        <w:rPr>
          <w:b/>
          <w:szCs w:val="20"/>
        </w:rPr>
        <w:t>.</w:t>
      </w:r>
      <w:r w:rsidRPr="00DC3BCC">
        <w:rPr>
          <w:bCs/>
          <w:szCs w:val="20"/>
        </w:rPr>
        <w:t>T matrix</w:t>
      </w:r>
      <w:r>
        <w:rPr>
          <w:bCs/>
          <w:szCs w:val="20"/>
        </w:rPr>
        <w:t xml:space="preserve"> value</w:t>
      </w:r>
    </w:p>
    <w:tbl>
      <w:tblPr>
        <w:tblW w:w="672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960"/>
        <w:gridCol w:w="960"/>
        <w:gridCol w:w="960"/>
        <w:gridCol w:w="960"/>
        <w:gridCol w:w="960"/>
      </w:tblGrid>
      <w:tr w:rsidR="001A1811" w:rsidRPr="00D23B2F" w:rsidTr="001A1811">
        <w:trPr>
          <w:trHeight w:val="288"/>
          <w:jc w:val="center"/>
        </w:trPr>
        <w:tc>
          <w:tcPr>
            <w:tcW w:w="960" w:type="dxa"/>
            <w:shd w:val="clear" w:color="auto" w:fill="auto"/>
            <w:noWrap/>
            <w:vAlign w:val="bottom"/>
            <w:hideMark/>
          </w:tcPr>
          <w:p w:rsidR="001A1811" w:rsidRPr="00D23B2F" w:rsidRDefault="002110C2" w:rsidP="002110C2">
            <w:pPr>
              <w:spacing w:before="0" w:after="0"/>
              <w:jc w:val="right"/>
              <w:rPr>
                <w:sz w:val="18"/>
                <w:szCs w:val="18"/>
              </w:rPr>
            </w:pPr>
            <w:r>
              <w:rPr>
                <w:bCs/>
                <w:szCs w:val="20"/>
              </w:rPr>
              <w:t xml:space="preserve"> </w:t>
            </w:r>
            <w:r w:rsidR="001A1811" w:rsidRPr="00D23B2F">
              <w:rPr>
                <w:sz w:val="18"/>
                <w:szCs w:val="18"/>
              </w:rPr>
              <w:t>-0.86748</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-1.43694</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-0.87001</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-2.54966</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-0.36388</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2.244018</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2.635571</w:t>
            </w:r>
          </w:p>
        </w:tc>
      </w:tr>
      <w:tr w:rsidR="001A1811" w:rsidRPr="00D23B2F" w:rsidTr="001A1811">
        <w:trPr>
          <w:trHeight w:val="288"/>
          <w:jc w:val="center"/>
        </w:trPr>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0.012406</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-0.99216</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0.031266</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0.023065</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-0.01081</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-0.03842</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-0.02147</w:t>
            </w:r>
          </w:p>
        </w:tc>
      </w:tr>
      <w:tr w:rsidR="001A1811" w:rsidRPr="00D23B2F" w:rsidTr="001A1811">
        <w:trPr>
          <w:trHeight w:val="288"/>
          <w:jc w:val="center"/>
        </w:trPr>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-0.03884</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-0.04565</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-1.02991</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-0.09012</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-0.01102</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0.126248</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0.075346</w:t>
            </w:r>
          </w:p>
        </w:tc>
      </w:tr>
      <w:tr w:rsidR="001A1811" w:rsidRPr="00D23B2F" w:rsidTr="001A1811">
        <w:trPr>
          <w:trHeight w:val="288"/>
          <w:jc w:val="center"/>
        </w:trPr>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-0.02378</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-0.05267</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-0.01235</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-1.04596</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0.01336</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0.059087</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0.053296</w:t>
            </w:r>
          </w:p>
        </w:tc>
      </w:tr>
      <w:tr w:rsidR="001A1811" w:rsidRPr="00D23B2F" w:rsidTr="001A1811">
        <w:trPr>
          <w:trHeight w:val="288"/>
          <w:jc w:val="center"/>
        </w:trPr>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0.131474</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0.241164</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0.134358</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0.356487</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-0.92804</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-0.43104</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-0.46155</w:t>
            </w:r>
          </w:p>
        </w:tc>
      </w:tr>
      <w:tr w:rsidR="001A1811" w:rsidRPr="00D23B2F" w:rsidTr="001A1811">
        <w:trPr>
          <w:trHeight w:val="288"/>
          <w:jc w:val="center"/>
        </w:trPr>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-0.06823</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-0.09393</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-0.1251</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-0.14995</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-0.02514</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-0.79882</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0.234727</w:t>
            </w:r>
          </w:p>
        </w:tc>
      </w:tr>
      <w:tr w:rsidR="001A1811" w:rsidRPr="00D23B2F" w:rsidTr="001A1811">
        <w:trPr>
          <w:trHeight w:val="288"/>
          <w:jc w:val="center"/>
        </w:trPr>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-0.06522</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-0.09464</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-0.06773</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-0.17094</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-0.00643</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0.185316</w:t>
            </w:r>
          </w:p>
        </w:tc>
        <w:tc>
          <w:tcPr>
            <w:tcW w:w="960" w:type="dxa"/>
            <w:shd w:val="clear" w:color="auto" w:fill="auto"/>
            <w:noWrap/>
            <w:vAlign w:val="bottom"/>
            <w:hideMark/>
          </w:tcPr>
          <w:p w:rsidR="001A1811" w:rsidRPr="00D23B2F" w:rsidRDefault="001A1811" w:rsidP="002110C2">
            <w:pPr>
              <w:spacing w:before="0" w:after="0"/>
              <w:jc w:val="right"/>
              <w:rPr>
                <w:sz w:val="18"/>
                <w:szCs w:val="18"/>
              </w:rPr>
            </w:pPr>
            <w:r w:rsidRPr="00D23B2F">
              <w:rPr>
                <w:sz w:val="18"/>
                <w:szCs w:val="18"/>
              </w:rPr>
              <w:t>-0.80339</w:t>
            </w:r>
          </w:p>
        </w:tc>
      </w:tr>
    </w:tbl>
    <w:p w:rsidR="001A1811" w:rsidRDefault="001A1811" w:rsidP="002110C2">
      <w:pPr>
        <w:spacing w:before="0" w:after="0"/>
        <w:rPr>
          <w:bCs/>
          <w:szCs w:val="20"/>
        </w:rPr>
      </w:pPr>
    </w:p>
    <w:p w:rsidR="001A1811" w:rsidRDefault="002110C2" w:rsidP="001A1811">
      <w:pPr>
        <w:jc w:val="left"/>
        <w:rPr>
          <w:szCs w:val="20"/>
        </w:rPr>
      </w:pPr>
      <w:r>
        <w:rPr>
          <w:szCs w:val="20"/>
        </w:rPr>
        <w:t xml:space="preserve"> </w:t>
      </w:r>
      <w:r w:rsidR="00FA3A00">
        <w:rPr>
          <w:szCs w:val="20"/>
        </w:rPr>
        <w:t>Table 11</w:t>
      </w:r>
      <w:r w:rsidR="001A1811" w:rsidRPr="00DC3BCC">
        <w:rPr>
          <w:szCs w:val="20"/>
        </w:rPr>
        <w:t xml:space="preserve">Shows the T matrix calculate the average of the matrix and its threshold value (alpha) </w:t>
      </w:r>
      <w:r w:rsidR="001A1811" w:rsidRPr="00C858FC">
        <w:rPr>
          <w:b/>
          <w:szCs w:val="20"/>
        </w:rPr>
        <w:t xml:space="preserve">Alpha </w:t>
      </w:r>
      <w:r w:rsidR="001A1811" w:rsidRPr="00AA6C1B">
        <w:rPr>
          <w:rFonts w:ascii="Calibri" w:hAnsi="Calibri" w:cs="Calibri"/>
          <w:sz w:val="22"/>
        </w:rPr>
        <w:t>-</w:t>
      </w:r>
      <w:r w:rsidR="001A1811" w:rsidRPr="00D23B2F">
        <w:rPr>
          <w:rFonts w:ascii="Calibri" w:hAnsi="Calibri" w:cs="Calibri"/>
          <w:sz w:val="22"/>
        </w:rPr>
        <w:t xml:space="preserve"> 0.5618</w:t>
      </w:r>
      <w:r w:rsidR="001A1811">
        <w:rPr>
          <w:rFonts w:ascii="Calibri" w:hAnsi="Calibri" w:cs="Calibri"/>
          <w:sz w:val="22"/>
        </w:rPr>
        <w:t xml:space="preserve"> </w:t>
      </w:r>
      <w:r w:rsidR="001A1811" w:rsidRPr="00DC3BCC">
        <w:rPr>
          <w:szCs w:val="20"/>
        </w:rPr>
        <w:t>if the T matrix value is greater than threshold value then bold it</w:t>
      </w:r>
      <w:r w:rsidR="00401A38">
        <w:rPr>
          <w:szCs w:val="20"/>
        </w:rPr>
        <w:t>.</w:t>
      </w:r>
      <w:r w:rsidR="001A1811" w:rsidRPr="00DC3BCC">
        <w:rPr>
          <w:szCs w:val="20"/>
        </w:rPr>
        <w:tab/>
      </w:r>
    </w:p>
    <w:p w:rsidR="001A1811" w:rsidRDefault="001A1811" w:rsidP="002110C2">
      <w:r w:rsidRPr="00D23B2F">
        <w:rPr>
          <w:noProof/>
        </w:rPr>
        <w:drawing>
          <wp:inline distT="0" distB="0" distL="0" distR="0">
            <wp:extent cx="4572000" cy="2743200"/>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1811" w:rsidRPr="007A1097" w:rsidRDefault="002110C2" w:rsidP="002110C2">
      <w:pPr>
        <w:rPr>
          <w:sz w:val="18"/>
          <w:szCs w:val="18"/>
        </w:rPr>
      </w:pPr>
      <w:r>
        <w:t xml:space="preserve"> </w:t>
      </w:r>
      <w:r w:rsidR="001A1811" w:rsidRPr="007A1097">
        <w:rPr>
          <w:b/>
          <w:bCs/>
          <w:sz w:val="18"/>
          <w:szCs w:val="18"/>
          <w:lang w:eastAsia="en-IN"/>
        </w:rPr>
        <w:t>FIGURE 5.</w:t>
      </w:r>
      <w:r w:rsidR="00401A38">
        <w:rPr>
          <w:b/>
          <w:bCs/>
          <w:sz w:val="18"/>
          <w:szCs w:val="18"/>
          <w:lang w:eastAsia="en-IN"/>
        </w:rPr>
        <w:t xml:space="preserve"> </w:t>
      </w:r>
      <w:r w:rsidR="001A1811" w:rsidRPr="007A1097">
        <w:rPr>
          <w:bCs/>
          <w:sz w:val="18"/>
          <w:szCs w:val="18"/>
          <w:lang w:eastAsia="en-IN"/>
        </w:rPr>
        <w:t>Ranks</w:t>
      </w:r>
    </w:p>
    <w:p w:rsidR="001A1811" w:rsidRDefault="00FA3A00" w:rsidP="00401A38">
      <w:pPr>
        <w:jc w:val="both"/>
        <w:rPr>
          <w:szCs w:val="20"/>
        </w:rPr>
      </w:pPr>
      <w:r>
        <w:rPr>
          <w:bCs/>
          <w:szCs w:val="20"/>
          <w:lang w:eastAsia="en-IN"/>
        </w:rPr>
        <w:t>Figure 5</w:t>
      </w:r>
      <w:r w:rsidR="001A1811">
        <w:rPr>
          <w:bCs/>
          <w:szCs w:val="20"/>
          <w:lang w:eastAsia="en-IN"/>
        </w:rPr>
        <w:t xml:space="preserve"> </w:t>
      </w:r>
      <w:r w:rsidR="001A1811">
        <w:rPr>
          <w:szCs w:val="20"/>
          <w:lang w:eastAsia="en-IN"/>
        </w:rPr>
        <w:t xml:space="preserve">show </w:t>
      </w:r>
      <w:r w:rsidR="001A1811" w:rsidRPr="00DF009E">
        <w:rPr>
          <w:szCs w:val="20"/>
          <w:lang w:eastAsia="en-IN"/>
        </w:rPr>
        <w:t xml:space="preserve">the Rank </w:t>
      </w:r>
      <w:r w:rsidR="001A1811" w:rsidRPr="00DF009E">
        <w:rPr>
          <w:szCs w:val="20"/>
        </w:rPr>
        <w:t xml:space="preserve">using the DEMATEL for </w:t>
      </w:r>
      <w:r w:rsidR="001A1811">
        <w:rPr>
          <w:szCs w:val="20"/>
        </w:rPr>
        <w:t xml:space="preserve">Environmental factor is got the first rank whereas </w:t>
      </w:r>
      <w:r w:rsidR="001A1811" w:rsidRPr="00DF009E">
        <w:rPr>
          <w:szCs w:val="20"/>
        </w:rPr>
        <w:t xml:space="preserve">the </w:t>
      </w:r>
      <w:r w:rsidR="001A1811">
        <w:rPr>
          <w:szCs w:val="20"/>
        </w:rPr>
        <w:t xml:space="preserve">Hypersomnia </w:t>
      </w:r>
      <w:r w:rsidR="001A1811" w:rsidRPr="00DF009E">
        <w:rPr>
          <w:szCs w:val="20"/>
          <w:lang w:eastAsia="en-IN"/>
        </w:rPr>
        <w:t xml:space="preserve">is having the </w:t>
      </w:r>
      <w:r w:rsidR="002110C2" w:rsidRPr="00DF009E">
        <w:rPr>
          <w:szCs w:val="20"/>
        </w:rPr>
        <w:t>lowest</w:t>
      </w:r>
      <w:r w:rsidR="001A1811" w:rsidRPr="00DF009E">
        <w:rPr>
          <w:szCs w:val="20"/>
        </w:rPr>
        <w:t xml:space="preserve"> rank.</w:t>
      </w:r>
    </w:p>
    <w:p w:rsidR="009A2B45" w:rsidRDefault="009A2B45" w:rsidP="002110C2">
      <w:pPr>
        <w:ind w:firstLine="284"/>
        <w:jc w:val="both"/>
        <w:rPr>
          <w:szCs w:val="20"/>
        </w:rPr>
      </w:pPr>
    </w:p>
    <w:p w:rsidR="009A2B45" w:rsidRDefault="009A2B45" w:rsidP="002110C2">
      <w:pPr>
        <w:ind w:firstLine="284"/>
        <w:jc w:val="both"/>
        <w:rPr>
          <w:szCs w:val="20"/>
        </w:rPr>
      </w:pPr>
    </w:p>
    <w:p w:rsidR="001A1811" w:rsidRDefault="001A1811" w:rsidP="002110C2">
      <w:pPr>
        <w:rPr>
          <w:rFonts w:eastAsia="Calibri"/>
          <w:b/>
          <w:sz w:val="24"/>
          <w:szCs w:val="20"/>
        </w:rPr>
      </w:pPr>
      <w:r>
        <w:rPr>
          <w:rFonts w:eastAsia="Calibri"/>
          <w:b/>
          <w:sz w:val="24"/>
          <w:szCs w:val="20"/>
        </w:rPr>
        <w:lastRenderedPageBreak/>
        <w:t xml:space="preserve">4. </w:t>
      </w:r>
      <w:r w:rsidRPr="003B3F44">
        <w:rPr>
          <w:rFonts w:eastAsia="Calibri"/>
          <w:b/>
          <w:sz w:val="24"/>
          <w:szCs w:val="20"/>
        </w:rPr>
        <w:t>CONCLUSION</w:t>
      </w:r>
    </w:p>
    <w:p w:rsidR="001A1811" w:rsidRDefault="001A1811" w:rsidP="009A2B45">
      <w:pPr>
        <w:jc w:val="both"/>
      </w:pPr>
      <w:r>
        <w:t>The analysis of sleep disorders in women underscores the complex interplay of biological, psychological, and socio</w:t>
      </w:r>
      <w:r w:rsidR="00FA3A00">
        <w:t xml:space="preserve"> </w:t>
      </w:r>
      <w:r>
        <w:t>cultural factors that contribute to sleep disturbances among this demographic. It is evident that women are more susceptible to certain sleep disorders, such as insomnia and sleep apnea, due to hormonal fluctuations and life-stage transitions like pregnancy and menopause. Additionally, the psychosocial stressors unique to women, such as caregiving responsibilities and societal expectations, can further exacerbate sleep problems. Recognizing the gender-specific nature of these sleep disorders is crucial for effective diagnosis and treatment. Healthcare professionals should adopt a holistic approach that considers not only medical interventions but also lifestyle modifications, stress management, and psychological support. Furthermore, raising awareness about the importance of sleep health among women and reducing stigma surrounding sleep disorders can promote early intervention and better overall well-being for this vulnerable population. Future research should continue to delve into the intricacies of sleep in women, fostering a deeper understanding of the mechanisms at play and improving the quality of sleep-related care for women across their lifespan.</w:t>
      </w:r>
    </w:p>
    <w:p w:rsidR="001A1811" w:rsidRPr="00D23B2F" w:rsidRDefault="001A1811" w:rsidP="001A1811">
      <w:pPr>
        <w:rPr>
          <w:b/>
          <w:sz w:val="24"/>
        </w:rPr>
      </w:pPr>
      <w:r w:rsidRPr="00D23B2F">
        <w:rPr>
          <w:b/>
          <w:sz w:val="24"/>
        </w:rPr>
        <w:t xml:space="preserve">REFERENCES </w:t>
      </w:r>
    </w:p>
    <w:p w:rsidR="001A1811" w:rsidRPr="00401A38" w:rsidRDefault="001A1811" w:rsidP="002110C2">
      <w:pPr>
        <w:pStyle w:val="ListParagraph"/>
        <w:numPr>
          <w:ilvl w:val="0"/>
          <w:numId w:val="40"/>
        </w:numPr>
        <w:spacing w:before="0" w:after="0" w:line="240" w:lineRule="auto"/>
        <w:jc w:val="both"/>
        <w:rPr>
          <w:rFonts w:ascii="Times New Roman" w:hAnsi="Times New Roman" w:cs="Times New Roman"/>
          <w:sz w:val="18"/>
          <w:szCs w:val="20"/>
        </w:rPr>
      </w:pPr>
      <w:r w:rsidRPr="00401A38">
        <w:rPr>
          <w:rFonts w:ascii="Times New Roman" w:hAnsi="Times New Roman" w:cs="Times New Roman"/>
          <w:color w:val="222222"/>
          <w:sz w:val="18"/>
          <w:szCs w:val="20"/>
          <w:shd w:val="clear" w:color="auto" w:fill="FFFFFF"/>
        </w:rPr>
        <w:t>Maghami, Mahboobeh, Seyyed Payam Shariatpanahi, Danial Habibi, Motahar Heidari‐Beni, Negin Badihian, Mohsen Hosseini, and Roya Kelishadi. "Sleep disorders during pregnancy and postpartum depression: a systematic review and meta‐analysis." </w:t>
      </w:r>
      <w:r w:rsidRPr="00401A38">
        <w:rPr>
          <w:rFonts w:ascii="Times New Roman" w:hAnsi="Times New Roman" w:cs="Times New Roman"/>
          <w:i/>
          <w:iCs/>
          <w:color w:val="222222"/>
          <w:sz w:val="18"/>
          <w:szCs w:val="20"/>
          <w:shd w:val="clear" w:color="auto" w:fill="FFFFFF"/>
        </w:rPr>
        <w:t>International Journal of Developmental Neuroscience</w:t>
      </w:r>
      <w:r w:rsidRPr="00401A38">
        <w:rPr>
          <w:rFonts w:ascii="Times New Roman" w:hAnsi="Times New Roman" w:cs="Times New Roman"/>
          <w:color w:val="222222"/>
          <w:sz w:val="18"/>
          <w:szCs w:val="20"/>
          <w:shd w:val="clear" w:color="auto" w:fill="FFFFFF"/>
        </w:rPr>
        <w:t> 81, no. 6 (2021): 469-478.</w:t>
      </w:r>
    </w:p>
    <w:p w:rsidR="001A1811" w:rsidRPr="00401A38" w:rsidRDefault="001A1811" w:rsidP="002110C2">
      <w:pPr>
        <w:pStyle w:val="ListParagraph"/>
        <w:numPr>
          <w:ilvl w:val="0"/>
          <w:numId w:val="40"/>
        </w:numPr>
        <w:spacing w:before="0" w:after="0" w:line="240" w:lineRule="auto"/>
        <w:jc w:val="both"/>
        <w:rPr>
          <w:rFonts w:ascii="Times New Roman" w:hAnsi="Times New Roman" w:cs="Times New Roman"/>
          <w:sz w:val="18"/>
          <w:szCs w:val="20"/>
        </w:rPr>
      </w:pPr>
      <w:r w:rsidRPr="00401A38">
        <w:rPr>
          <w:rFonts w:ascii="Times New Roman" w:hAnsi="Times New Roman" w:cs="Times New Roman"/>
          <w:color w:val="222222"/>
          <w:sz w:val="18"/>
          <w:szCs w:val="20"/>
          <w:shd w:val="clear" w:color="auto" w:fill="FFFFFF"/>
        </w:rPr>
        <w:t>Baker, Fiona C., Laura Lampio, Tarja Saaresranta, and Päivi Polo-Kantola. "Sleep and sleep disorders in the menopausal transition." </w:t>
      </w:r>
      <w:r w:rsidRPr="00401A38">
        <w:rPr>
          <w:rFonts w:ascii="Times New Roman" w:hAnsi="Times New Roman" w:cs="Times New Roman"/>
          <w:i/>
          <w:iCs/>
          <w:color w:val="222222"/>
          <w:sz w:val="18"/>
          <w:szCs w:val="20"/>
          <w:shd w:val="clear" w:color="auto" w:fill="FFFFFF"/>
        </w:rPr>
        <w:t>Sleep medicine clinics</w:t>
      </w:r>
      <w:r w:rsidRPr="00401A38">
        <w:rPr>
          <w:rFonts w:ascii="Times New Roman" w:hAnsi="Times New Roman" w:cs="Times New Roman"/>
          <w:color w:val="222222"/>
          <w:sz w:val="18"/>
          <w:szCs w:val="20"/>
          <w:shd w:val="clear" w:color="auto" w:fill="FFFFFF"/>
        </w:rPr>
        <w:t> 13, no. 3 (2018): 443-456.</w:t>
      </w:r>
    </w:p>
    <w:p w:rsidR="001A1811" w:rsidRPr="00401A38" w:rsidRDefault="001A1811" w:rsidP="002110C2">
      <w:pPr>
        <w:pStyle w:val="ListParagraph"/>
        <w:numPr>
          <w:ilvl w:val="0"/>
          <w:numId w:val="40"/>
        </w:numPr>
        <w:spacing w:before="0" w:after="0" w:line="240" w:lineRule="auto"/>
        <w:jc w:val="both"/>
        <w:rPr>
          <w:rFonts w:ascii="Times New Roman" w:hAnsi="Times New Roman" w:cs="Times New Roman"/>
          <w:sz w:val="18"/>
          <w:szCs w:val="20"/>
        </w:rPr>
      </w:pPr>
      <w:r w:rsidRPr="00401A38">
        <w:rPr>
          <w:rFonts w:ascii="Times New Roman" w:hAnsi="Times New Roman" w:cs="Times New Roman"/>
          <w:color w:val="222222"/>
          <w:sz w:val="18"/>
          <w:szCs w:val="20"/>
          <w:shd w:val="clear" w:color="auto" w:fill="FFFFFF"/>
        </w:rPr>
        <w:t>Li, Y., K. L. Munger, S. Batool-Anwar, K. De Vito, A. Ascherio, and X. Gao. "Association of multiple sclerosis with restless legs syndrome and other sleep disorders in women." </w:t>
      </w:r>
      <w:r w:rsidRPr="00401A38">
        <w:rPr>
          <w:rFonts w:ascii="Times New Roman" w:hAnsi="Times New Roman" w:cs="Times New Roman"/>
          <w:i/>
          <w:iCs/>
          <w:color w:val="222222"/>
          <w:sz w:val="18"/>
          <w:szCs w:val="20"/>
          <w:shd w:val="clear" w:color="auto" w:fill="FFFFFF"/>
        </w:rPr>
        <w:t>Neurology</w:t>
      </w:r>
      <w:r w:rsidRPr="00401A38">
        <w:rPr>
          <w:rFonts w:ascii="Times New Roman" w:hAnsi="Times New Roman" w:cs="Times New Roman"/>
          <w:color w:val="222222"/>
          <w:sz w:val="18"/>
          <w:szCs w:val="20"/>
          <w:shd w:val="clear" w:color="auto" w:fill="FFFFFF"/>
        </w:rPr>
        <w:t> 78, no. 19 (2012): 1500-1506.</w:t>
      </w:r>
    </w:p>
    <w:p w:rsidR="001A1811" w:rsidRPr="00401A38" w:rsidRDefault="001A1811" w:rsidP="002110C2">
      <w:pPr>
        <w:pStyle w:val="ListParagraph"/>
        <w:numPr>
          <w:ilvl w:val="0"/>
          <w:numId w:val="40"/>
        </w:numPr>
        <w:spacing w:before="0" w:after="0" w:line="240" w:lineRule="auto"/>
        <w:jc w:val="both"/>
        <w:rPr>
          <w:rFonts w:ascii="Times New Roman" w:hAnsi="Times New Roman" w:cs="Times New Roman"/>
          <w:sz w:val="18"/>
          <w:szCs w:val="20"/>
        </w:rPr>
      </w:pPr>
      <w:r w:rsidRPr="00401A38">
        <w:rPr>
          <w:rFonts w:ascii="Times New Roman" w:hAnsi="Times New Roman" w:cs="Times New Roman"/>
          <w:color w:val="222222"/>
          <w:sz w:val="18"/>
          <w:szCs w:val="20"/>
          <w:shd w:val="clear" w:color="auto" w:fill="FFFFFF"/>
        </w:rPr>
        <w:t>Naufel, Maria Fernanda, Cristina Frange, Monica Levy Andersen, Manoel João Batista Castello Girão, Sergio Tufik, Eliane Beraldi Ribeiro, and Helena Hachul. "Association between obesity and sleep disorders in postmenopausal women." </w:t>
      </w:r>
      <w:r w:rsidRPr="00401A38">
        <w:rPr>
          <w:rFonts w:ascii="Times New Roman" w:hAnsi="Times New Roman" w:cs="Times New Roman"/>
          <w:i/>
          <w:iCs/>
          <w:color w:val="222222"/>
          <w:sz w:val="18"/>
          <w:szCs w:val="20"/>
          <w:shd w:val="clear" w:color="auto" w:fill="FFFFFF"/>
        </w:rPr>
        <w:t>Menopause</w:t>
      </w:r>
      <w:r w:rsidRPr="00401A38">
        <w:rPr>
          <w:rFonts w:ascii="Times New Roman" w:hAnsi="Times New Roman" w:cs="Times New Roman"/>
          <w:color w:val="222222"/>
          <w:sz w:val="18"/>
          <w:szCs w:val="20"/>
          <w:shd w:val="clear" w:color="auto" w:fill="FFFFFF"/>
        </w:rPr>
        <w:t> 25, no. 2 (2018): 139-144.</w:t>
      </w:r>
    </w:p>
    <w:p w:rsidR="001A1811" w:rsidRPr="00401A38" w:rsidRDefault="001A1811" w:rsidP="002110C2">
      <w:pPr>
        <w:pStyle w:val="ListParagraph"/>
        <w:numPr>
          <w:ilvl w:val="0"/>
          <w:numId w:val="40"/>
        </w:numPr>
        <w:spacing w:before="0" w:after="0" w:line="240" w:lineRule="auto"/>
        <w:jc w:val="both"/>
        <w:rPr>
          <w:rFonts w:ascii="Times New Roman" w:hAnsi="Times New Roman" w:cs="Times New Roman"/>
          <w:sz w:val="18"/>
          <w:szCs w:val="20"/>
        </w:rPr>
      </w:pPr>
      <w:r w:rsidRPr="00401A38">
        <w:rPr>
          <w:rFonts w:ascii="Times New Roman" w:hAnsi="Times New Roman" w:cs="Times New Roman"/>
          <w:color w:val="222222"/>
          <w:sz w:val="18"/>
          <w:szCs w:val="20"/>
          <w:shd w:val="clear" w:color="auto" w:fill="FFFFFF"/>
        </w:rPr>
        <w:t>Sharma, S. K., A. Nehra, S. Sinha, M. Soneja, K. Sunesh, V. Sreenivas, and D. Vedita. "Sleep disorders in pregnancy and their association with pregnancy outcomes: a prospective observational study." </w:t>
      </w:r>
      <w:r w:rsidRPr="00401A38">
        <w:rPr>
          <w:rFonts w:ascii="Times New Roman" w:hAnsi="Times New Roman" w:cs="Times New Roman"/>
          <w:i/>
          <w:iCs/>
          <w:color w:val="222222"/>
          <w:sz w:val="18"/>
          <w:szCs w:val="20"/>
          <w:shd w:val="clear" w:color="auto" w:fill="FFFFFF"/>
        </w:rPr>
        <w:t>Sleep and Breathing</w:t>
      </w:r>
      <w:r w:rsidRPr="00401A38">
        <w:rPr>
          <w:rFonts w:ascii="Times New Roman" w:hAnsi="Times New Roman" w:cs="Times New Roman"/>
          <w:color w:val="222222"/>
          <w:sz w:val="18"/>
          <w:szCs w:val="20"/>
          <w:shd w:val="clear" w:color="auto" w:fill="FFFFFF"/>
        </w:rPr>
        <w:t> 20 (2016): 87-93.</w:t>
      </w:r>
    </w:p>
    <w:p w:rsidR="001A1811" w:rsidRPr="00401A38" w:rsidRDefault="001A1811" w:rsidP="002110C2">
      <w:pPr>
        <w:pStyle w:val="ListParagraph"/>
        <w:numPr>
          <w:ilvl w:val="0"/>
          <w:numId w:val="40"/>
        </w:numPr>
        <w:spacing w:before="0" w:after="0" w:line="240" w:lineRule="auto"/>
        <w:jc w:val="both"/>
        <w:rPr>
          <w:rFonts w:ascii="Times New Roman" w:hAnsi="Times New Roman" w:cs="Times New Roman"/>
          <w:sz w:val="18"/>
          <w:szCs w:val="20"/>
        </w:rPr>
      </w:pPr>
      <w:r w:rsidRPr="00401A38">
        <w:rPr>
          <w:rFonts w:ascii="Times New Roman" w:hAnsi="Times New Roman" w:cs="Times New Roman"/>
          <w:color w:val="222222"/>
          <w:sz w:val="18"/>
          <w:szCs w:val="20"/>
          <w:shd w:val="clear" w:color="auto" w:fill="FFFFFF"/>
        </w:rPr>
        <w:t>Ruiter, Megan E., Jamie DeCoster, Lindsey Jacobs, and Kenneth L. Lichstein. "Sleep disorders in African Americans and Caucasian Americans: a meta-analysis." </w:t>
      </w:r>
      <w:r w:rsidRPr="00401A38">
        <w:rPr>
          <w:rFonts w:ascii="Times New Roman" w:hAnsi="Times New Roman" w:cs="Times New Roman"/>
          <w:i/>
          <w:iCs/>
          <w:color w:val="222222"/>
          <w:sz w:val="18"/>
          <w:szCs w:val="20"/>
          <w:shd w:val="clear" w:color="auto" w:fill="FFFFFF"/>
        </w:rPr>
        <w:t>Behavioral sleep medicine</w:t>
      </w:r>
      <w:r w:rsidRPr="00401A38">
        <w:rPr>
          <w:rFonts w:ascii="Times New Roman" w:hAnsi="Times New Roman" w:cs="Times New Roman"/>
          <w:color w:val="222222"/>
          <w:sz w:val="18"/>
          <w:szCs w:val="20"/>
          <w:shd w:val="clear" w:color="auto" w:fill="FFFFFF"/>
        </w:rPr>
        <w:t> 8, no. 4 (2010): 246-259.</w:t>
      </w:r>
    </w:p>
    <w:p w:rsidR="001A1811" w:rsidRPr="00401A38" w:rsidRDefault="001A1811" w:rsidP="002110C2">
      <w:pPr>
        <w:pStyle w:val="ListParagraph"/>
        <w:numPr>
          <w:ilvl w:val="0"/>
          <w:numId w:val="40"/>
        </w:numPr>
        <w:spacing w:before="0" w:after="0" w:line="240" w:lineRule="auto"/>
        <w:jc w:val="both"/>
        <w:rPr>
          <w:rFonts w:ascii="Times New Roman" w:hAnsi="Times New Roman" w:cs="Times New Roman"/>
          <w:sz w:val="18"/>
          <w:szCs w:val="20"/>
        </w:rPr>
      </w:pPr>
      <w:r w:rsidRPr="00401A38">
        <w:rPr>
          <w:rFonts w:ascii="Times New Roman" w:hAnsi="Times New Roman" w:cs="Times New Roman"/>
          <w:color w:val="222222"/>
          <w:sz w:val="18"/>
          <w:szCs w:val="20"/>
          <w:shd w:val="clear" w:color="auto" w:fill="FFFFFF"/>
        </w:rPr>
        <w:t>Gopal, Manish, Mary D. Sammel, Grace Pien, Clarisa Gracia, Ellen W. Freeman, Hui Lin, and Lily Arya. "Investigating the associations between nocturia and sleep disorders in perimenopausal women." </w:t>
      </w:r>
      <w:r w:rsidRPr="00401A38">
        <w:rPr>
          <w:rFonts w:ascii="Times New Roman" w:hAnsi="Times New Roman" w:cs="Times New Roman"/>
          <w:i/>
          <w:iCs/>
          <w:color w:val="222222"/>
          <w:sz w:val="18"/>
          <w:szCs w:val="20"/>
          <w:shd w:val="clear" w:color="auto" w:fill="FFFFFF"/>
        </w:rPr>
        <w:t>The Journal of urology</w:t>
      </w:r>
      <w:r w:rsidRPr="00401A38">
        <w:rPr>
          <w:rFonts w:ascii="Times New Roman" w:hAnsi="Times New Roman" w:cs="Times New Roman"/>
          <w:color w:val="222222"/>
          <w:sz w:val="18"/>
          <w:szCs w:val="20"/>
          <w:shd w:val="clear" w:color="auto" w:fill="FFFFFF"/>
        </w:rPr>
        <w:t> 180, no. 5 (2008): 2063-2067.</w:t>
      </w:r>
    </w:p>
    <w:p w:rsidR="001A1811" w:rsidRPr="00401A38" w:rsidRDefault="001A1811" w:rsidP="002110C2">
      <w:pPr>
        <w:pStyle w:val="ListParagraph"/>
        <w:numPr>
          <w:ilvl w:val="0"/>
          <w:numId w:val="40"/>
        </w:numPr>
        <w:spacing w:before="0" w:after="0" w:line="240" w:lineRule="auto"/>
        <w:jc w:val="both"/>
        <w:rPr>
          <w:rFonts w:ascii="Times New Roman" w:hAnsi="Times New Roman" w:cs="Times New Roman"/>
          <w:sz w:val="18"/>
          <w:szCs w:val="20"/>
        </w:rPr>
      </w:pPr>
      <w:r w:rsidRPr="00401A38">
        <w:rPr>
          <w:rFonts w:ascii="Times New Roman" w:hAnsi="Times New Roman" w:cs="Times New Roman"/>
          <w:color w:val="222222"/>
          <w:sz w:val="18"/>
          <w:szCs w:val="20"/>
          <w:shd w:val="clear" w:color="auto" w:fill="FFFFFF"/>
        </w:rPr>
        <w:t>Pistacchi, Michele, Manuela Gioulis, Franco Contin, Flavio Sanson, and Sandro Zambito Marsala. "Sleep disturbance and cognitive disorder: epidemiological analysis in a cohort of 263 patients." </w:t>
      </w:r>
      <w:r w:rsidRPr="00401A38">
        <w:rPr>
          <w:rFonts w:ascii="Times New Roman" w:hAnsi="Times New Roman" w:cs="Times New Roman"/>
          <w:i/>
          <w:iCs/>
          <w:color w:val="222222"/>
          <w:sz w:val="18"/>
          <w:szCs w:val="20"/>
          <w:shd w:val="clear" w:color="auto" w:fill="FFFFFF"/>
        </w:rPr>
        <w:t>Neurological Sciences</w:t>
      </w:r>
      <w:r w:rsidRPr="00401A38">
        <w:rPr>
          <w:rFonts w:ascii="Times New Roman" w:hAnsi="Times New Roman" w:cs="Times New Roman"/>
          <w:color w:val="222222"/>
          <w:sz w:val="18"/>
          <w:szCs w:val="20"/>
          <w:shd w:val="clear" w:color="auto" w:fill="FFFFFF"/>
        </w:rPr>
        <w:t> 35, no. 12 (2014): 1955-1962.</w:t>
      </w:r>
    </w:p>
    <w:p w:rsidR="001A1811" w:rsidRPr="00401A38" w:rsidRDefault="001A1811" w:rsidP="002110C2">
      <w:pPr>
        <w:pStyle w:val="ListParagraph"/>
        <w:numPr>
          <w:ilvl w:val="0"/>
          <w:numId w:val="40"/>
        </w:numPr>
        <w:spacing w:before="0" w:after="0" w:line="240" w:lineRule="auto"/>
        <w:jc w:val="both"/>
        <w:rPr>
          <w:rFonts w:ascii="Times New Roman" w:hAnsi="Times New Roman" w:cs="Times New Roman"/>
          <w:sz w:val="18"/>
          <w:szCs w:val="20"/>
        </w:rPr>
      </w:pPr>
      <w:r w:rsidRPr="00401A38">
        <w:rPr>
          <w:rFonts w:ascii="Times New Roman" w:hAnsi="Times New Roman" w:cs="Times New Roman"/>
          <w:color w:val="222222"/>
          <w:sz w:val="18"/>
          <w:szCs w:val="20"/>
          <w:shd w:val="clear" w:color="auto" w:fill="FFFFFF"/>
        </w:rPr>
        <w:t>Akberzie, Wahida, and Lynn Kataria. "Sleep disorders and aging in women." </w:t>
      </w:r>
      <w:r w:rsidRPr="00401A38">
        <w:rPr>
          <w:rFonts w:ascii="Times New Roman" w:hAnsi="Times New Roman" w:cs="Times New Roman"/>
          <w:i/>
          <w:iCs/>
          <w:color w:val="222222"/>
          <w:sz w:val="18"/>
          <w:szCs w:val="20"/>
          <w:shd w:val="clear" w:color="auto" w:fill="FFFFFF"/>
        </w:rPr>
        <w:t>Clinics in Geriatric Medicine</w:t>
      </w:r>
      <w:r w:rsidRPr="00401A38">
        <w:rPr>
          <w:rFonts w:ascii="Times New Roman" w:hAnsi="Times New Roman" w:cs="Times New Roman"/>
          <w:color w:val="222222"/>
          <w:sz w:val="18"/>
          <w:szCs w:val="20"/>
          <w:shd w:val="clear" w:color="auto" w:fill="FFFFFF"/>
        </w:rPr>
        <w:t> 37, no. 4 (2021): 667-682.</w:t>
      </w:r>
    </w:p>
    <w:p w:rsidR="001A1811" w:rsidRPr="00401A38" w:rsidRDefault="001A1811" w:rsidP="002110C2">
      <w:pPr>
        <w:pStyle w:val="ListParagraph"/>
        <w:numPr>
          <w:ilvl w:val="0"/>
          <w:numId w:val="40"/>
        </w:numPr>
        <w:spacing w:before="0" w:after="0" w:line="240" w:lineRule="auto"/>
        <w:jc w:val="both"/>
        <w:rPr>
          <w:rFonts w:ascii="Times New Roman" w:hAnsi="Times New Roman" w:cs="Times New Roman"/>
          <w:sz w:val="18"/>
          <w:szCs w:val="20"/>
        </w:rPr>
      </w:pPr>
      <w:r w:rsidRPr="00401A38">
        <w:rPr>
          <w:rFonts w:ascii="Times New Roman" w:hAnsi="Times New Roman" w:cs="Times New Roman"/>
          <w:color w:val="222222"/>
          <w:sz w:val="18"/>
          <w:szCs w:val="20"/>
          <w:shd w:val="clear" w:color="auto" w:fill="FFFFFF"/>
        </w:rPr>
        <w:t>Phillips, Barbara A., Nancy A. Collop, Christopher Drake, Flavia Consens, Alexandros N. Vgontzas, and Terri E. Weaver. "Sleep disorders and medical conditions in women." </w:t>
      </w:r>
      <w:r w:rsidRPr="00401A38">
        <w:rPr>
          <w:rFonts w:ascii="Times New Roman" w:hAnsi="Times New Roman" w:cs="Times New Roman"/>
          <w:i/>
          <w:iCs/>
          <w:color w:val="222222"/>
          <w:sz w:val="18"/>
          <w:szCs w:val="20"/>
          <w:shd w:val="clear" w:color="auto" w:fill="FFFFFF"/>
        </w:rPr>
        <w:t>Journal of Women's Health</w:t>
      </w:r>
      <w:r w:rsidRPr="00401A38">
        <w:rPr>
          <w:rFonts w:ascii="Times New Roman" w:hAnsi="Times New Roman" w:cs="Times New Roman"/>
          <w:color w:val="222222"/>
          <w:sz w:val="18"/>
          <w:szCs w:val="20"/>
          <w:shd w:val="clear" w:color="auto" w:fill="FFFFFF"/>
        </w:rPr>
        <w:t> 17, no. 7 (2008): 1191-1199.</w:t>
      </w:r>
    </w:p>
    <w:p w:rsidR="001A1811" w:rsidRPr="00401A38" w:rsidRDefault="001A1811" w:rsidP="002110C2">
      <w:pPr>
        <w:pStyle w:val="ListParagraph"/>
        <w:numPr>
          <w:ilvl w:val="0"/>
          <w:numId w:val="40"/>
        </w:numPr>
        <w:spacing w:before="0" w:after="0" w:line="240" w:lineRule="auto"/>
        <w:jc w:val="both"/>
        <w:rPr>
          <w:rFonts w:ascii="Times New Roman" w:hAnsi="Times New Roman" w:cs="Times New Roman"/>
          <w:sz w:val="18"/>
          <w:szCs w:val="20"/>
        </w:rPr>
      </w:pPr>
      <w:r w:rsidRPr="00401A38">
        <w:rPr>
          <w:rFonts w:ascii="Times New Roman" w:hAnsi="Times New Roman" w:cs="Times New Roman"/>
          <w:color w:val="222222"/>
          <w:sz w:val="18"/>
          <w:szCs w:val="20"/>
          <w:shd w:val="clear" w:color="auto" w:fill="FFFFFF"/>
        </w:rPr>
        <w:t>Luca, Antonina, Maria Luca, and Carmela Calandra. "Sleep disorders and depression: brief review of the literature, case report, and nonpharmacologic interventions for depression." </w:t>
      </w:r>
      <w:r w:rsidRPr="00401A38">
        <w:rPr>
          <w:rFonts w:ascii="Times New Roman" w:hAnsi="Times New Roman" w:cs="Times New Roman"/>
          <w:i/>
          <w:iCs/>
          <w:color w:val="222222"/>
          <w:sz w:val="18"/>
          <w:szCs w:val="20"/>
          <w:shd w:val="clear" w:color="auto" w:fill="FFFFFF"/>
        </w:rPr>
        <w:t>Clinical interventions in aging</w:t>
      </w:r>
      <w:r w:rsidRPr="00401A38">
        <w:rPr>
          <w:rFonts w:ascii="Times New Roman" w:hAnsi="Times New Roman" w:cs="Times New Roman"/>
          <w:color w:val="222222"/>
          <w:sz w:val="18"/>
          <w:szCs w:val="20"/>
          <w:shd w:val="clear" w:color="auto" w:fill="FFFFFF"/>
        </w:rPr>
        <w:t> (2013): 1033-1039.</w:t>
      </w:r>
    </w:p>
    <w:p w:rsidR="001A1811" w:rsidRPr="00401A38" w:rsidRDefault="001A1811" w:rsidP="002110C2">
      <w:pPr>
        <w:pStyle w:val="ListParagraph"/>
        <w:numPr>
          <w:ilvl w:val="0"/>
          <w:numId w:val="40"/>
        </w:numPr>
        <w:spacing w:before="0" w:after="0" w:line="240" w:lineRule="auto"/>
        <w:jc w:val="both"/>
        <w:rPr>
          <w:rFonts w:ascii="Times New Roman" w:hAnsi="Times New Roman" w:cs="Times New Roman"/>
          <w:sz w:val="18"/>
          <w:szCs w:val="20"/>
        </w:rPr>
      </w:pPr>
      <w:r w:rsidRPr="00401A38">
        <w:rPr>
          <w:rFonts w:ascii="Times New Roman" w:hAnsi="Times New Roman" w:cs="Times New Roman"/>
          <w:color w:val="222222"/>
          <w:sz w:val="18"/>
          <w:szCs w:val="20"/>
          <w:shd w:val="clear" w:color="auto" w:fill="FFFFFF"/>
        </w:rPr>
        <w:t>Renko, Anna-Kaisa, Liisa Hiltunen, Mauri Laakso, Ulla Rajala, and Sirkka Keinänen-Kiukaanniemi. "The relationship of glucose tolerance to sleep disorders and daytime sleepiness." </w:t>
      </w:r>
      <w:r w:rsidRPr="00401A38">
        <w:rPr>
          <w:rFonts w:ascii="Times New Roman" w:hAnsi="Times New Roman" w:cs="Times New Roman"/>
          <w:i/>
          <w:iCs/>
          <w:color w:val="222222"/>
          <w:sz w:val="18"/>
          <w:szCs w:val="20"/>
          <w:shd w:val="clear" w:color="auto" w:fill="FFFFFF"/>
        </w:rPr>
        <w:t>Diabetes Research and Clinical Practice</w:t>
      </w:r>
      <w:r w:rsidRPr="00401A38">
        <w:rPr>
          <w:rFonts w:ascii="Times New Roman" w:hAnsi="Times New Roman" w:cs="Times New Roman"/>
          <w:color w:val="222222"/>
          <w:sz w:val="18"/>
          <w:szCs w:val="20"/>
          <w:shd w:val="clear" w:color="auto" w:fill="FFFFFF"/>
        </w:rPr>
        <w:t> 67, no. 1 (2005): 84-91.</w:t>
      </w:r>
    </w:p>
    <w:p w:rsidR="001A1811" w:rsidRPr="00401A38" w:rsidRDefault="001A1811" w:rsidP="002110C2">
      <w:pPr>
        <w:pStyle w:val="ListParagraph"/>
        <w:numPr>
          <w:ilvl w:val="0"/>
          <w:numId w:val="40"/>
        </w:numPr>
        <w:spacing w:before="0" w:after="0" w:line="240" w:lineRule="auto"/>
        <w:jc w:val="both"/>
        <w:rPr>
          <w:rFonts w:ascii="Times New Roman" w:hAnsi="Times New Roman" w:cs="Times New Roman"/>
          <w:sz w:val="18"/>
          <w:szCs w:val="20"/>
        </w:rPr>
      </w:pPr>
      <w:r w:rsidRPr="00401A38">
        <w:rPr>
          <w:rFonts w:ascii="Times New Roman" w:hAnsi="Times New Roman" w:cs="Times New Roman"/>
          <w:color w:val="222222"/>
          <w:sz w:val="18"/>
          <w:szCs w:val="20"/>
          <w:shd w:val="clear" w:color="auto" w:fill="FFFFFF"/>
        </w:rPr>
        <w:t>Valiensi, Stella Maris, María Alejandra Belardo, Susana Pilnik, Gustavo Izbizky, Agustina Paula Starvaggi, and Camil Castelo Branco. "Sleep quality and related factors in postmenopausal women." </w:t>
      </w:r>
      <w:r w:rsidRPr="00401A38">
        <w:rPr>
          <w:rFonts w:ascii="Times New Roman" w:hAnsi="Times New Roman" w:cs="Times New Roman"/>
          <w:i/>
          <w:iCs/>
          <w:color w:val="222222"/>
          <w:sz w:val="18"/>
          <w:szCs w:val="20"/>
          <w:shd w:val="clear" w:color="auto" w:fill="FFFFFF"/>
        </w:rPr>
        <w:t>Maturitas</w:t>
      </w:r>
      <w:r w:rsidRPr="00401A38">
        <w:rPr>
          <w:rFonts w:ascii="Times New Roman" w:hAnsi="Times New Roman" w:cs="Times New Roman"/>
          <w:color w:val="222222"/>
          <w:sz w:val="18"/>
          <w:szCs w:val="20"/>
          <w:shd w:val="clear" w:color="auto" w:fill="FFFFFF"/>
        </w:rPr>
        <w:t> 123 (2019): 73-77.</w:t>
      </w:r>
    </w:p>
    <w:p w:rsidR="001A1811" w:rsidRPr="00401A38" w:rsidRDefault="001A1811" w:rsidP="002110C2">
      <w:pPr>
        <w:pStyle w:val="ListParagraph"/>
        <w:numPr>
          <w:ilvl w:val="0"/>
          <w:numId w:val="40"/>
        </w:numPr>
        <w:spacing w:before="0"/>
        <w:jc w:val="both"/>
        <w:rPr>
          <w:rFonts w:ascii="Times New Roman" w:hAnsi="Times New Roman" w:cs="Times New Roman"/>
          <w:b/>
          <w:sz w:val="18"/>
          <w:szCs w:val="20"/>
        </w:rPr>
      </w:pPr>
      <w:r w:rsidRPr="00401A38">
        <w:rPr>
          <w:rFonts w:ascii="Times New Roman" w:hAnsi="Times New Roman" w:cs="Times New Roman"/>
          <w:color w:val="222222"/>
          <w:sz w:val="18"/>
          <w:szCs w:val="20"/>
          <w:shd w:val="clear" w:color="auto" w:fill="FFFFFF"/>
        </w:rPr>
        <w:t>Lin, Ru-Jen. "Using fuzzy DEMATEL to evaluate the green supply chain management practices." </w:t>
      </w:r>
      <w:r w:rsidRPr="00401A38">
        <w:rPr>
          <w:rFonts w:ascii="Times New Roman" w:hAnsi="Times New Roman" w:cs="Times New Roman"/>
          <w:iCs/>
          <w:color w:val="222222"/>
          <w:sz w:val="18"/>
          <w:szCs w:val="20"/>
          <w:shd w:val="clear" w:color="auto" w:fill="FFFFFF"/>
        </w:rPr>
        <w:t>Journal of cleaner production</w:t>
      </w:r>
      <w:r w:rsidRPr="00401A38">
        <w:rPr>
          <w:rFonts w:ascii="Times New Roman" w:hAnsi="Times New Roman" w:cs="Times New Roman"/>
          <w:color w:val="222222"/>
          <w:sz w:val="18"/>
          <w:szCs w:val="20"/>
          <w:shd w:val="clear" w:color="auto" w:fill="FFFFFF"/>
        </w:rPr>
        <w:t> 40 (2013): 32-39.</w:t>
      </w:r>
    </w:p>
    <w:p w:rsidR="001A1811" w:rsidRPr="00401A38" w:rsidRDefault="001A1811" w:rsidP="002110C2">
      <w:pPr>
        <w:pStyle w:val="ListParagraph"/>
        <w:numPr>
          <w:ilvl w:val="0"/>
          <w:numId w:val="40"/>
        </w:numPr>
        <w:spacing w:before="0"/>
        <w:jc w:val="both"/>
        <w:rPr>
          <w:rFonts w:ascii="Times New Roman" w:hAnsi="Times New Roman" w:cs="Times New Roman"/>
          <w:b/>
          <w:sz w:val="18"/>
          <w:szCs w:val="20"/>
        </w:rPr>
      </w:pPr>
      <w:r w:rsidRPr="00401A38">
        <w:rPr>
          <w:rFonts w:ascii="Times New Roman" w:hAnsi="Times New Roman" w:cs="Times New Roman"/>
          <w:color w:val="222222"/>
          <w:sz w:val="18"/>
          <w:szCs w:val="20"/>
          <w:shd w:val="clear" w:color="auto" w:fill="FFFFFF"/>
        </w:rPr>
        <w:t>Li, Ya, Yong Hu, Xiaoge Zhang, Yong Deng, and SankaranMahadevan. "An evidential DEMATEL method to identify critical success factors in emergency management." </w:t>
      </w:r>
      <w:r w:rsidRPr="00401A38">
        <w:rPr>
          <w:rFonts w:ascii="Times New Roman" w:hAnsi="Times New Roman" w:cs="Times New Roman"/>
          <w:iCs/>
          <w:color w:val="222222"/>
          <w:sz w:val="18"/>
          <w:szCs w:val="20"/>
          <w:shd w:val="clear" w:color="auto" w:fill="FFFFFF"/>
        </w:rPr>
        <w:t>Applied Soft Computing</w:t>
      </w:r>
      <w:r w:rsidRPr="00401A38">
        <w:rPr>
          <w:rFonts w:ascii="Times New Roman" w:hAnsi="Times New Roman" w:cs="Times New Roman"/>
          <w:color w:val="222222"/>
          <w:sz w:val="18"/>
          <w:szCs w:val="20"/>
          <w:shd w:val="clear" w:color="auto" w:fill="FFFFFF"/>
        </w:rPr>
        <w:t> 22 (2014): 504-510.</w:t>
      </w:r>
    </w:p>
    <w:p w:rsidR="001A1811" w:rsidRPr="00401A38" w:rsidRDefault="001A1811" w:rsidP="002110C2">
      <w:pPr>
        <w:pStyle w:val="ListParagraph"/>
        <w:numPr>
          <w:ilvl w:val="0"/>
          <w:numId w:val="40"/>
        </w:numPr>
        <w:spacing w:before="0"/>
        <w:jc w:val="both"/>
        <w:rPr>
          <w:rFonts w:ascii="Times New Roman" w:hAnsi="Times New Roman" w:cs="Times New Roman"/>
          <w:b/>
          <w:sz w:val="18"/>
          <w:szCs w:val="20"/>
        </w:rPr>
      </w:pPr>
      <w:r w:rsidRPr="00401A38">
        <w:rPr>
          <w:rFonts w:ascii="Times New Roman" w:hAnsi="Times New Roman" w:cs="Times New Roman"/>
          <w:color w:val="222222"/>
          <w:sz w:val="18"/>
          <w:szCs w:val="20"/>
          <w:shd w:val="clear" w:color="auto" w:fill="FFFFFF"/>
        </w:rPr>
        <w:t>Wu, Wei-Wen, and Yu-Ting Lee. "Developing global managers’ competencies using the fuzzy DEMATEL method." </w:t>
      </w:r>
      <w:r w:rsidRPr="00401A38">
        <w:rPr>
          <w:rFonts w:ascii="Times New Roman" w:hAnsi="Times New Roman" w:cs="Times New Roman"/>
          <w:iCs/>
          <w:color w:val="222222"/>
          <w:sz w:val="18"/>
          <w:szCs w:val="20"/>
          <w:shd w:val="clear" w:color="auto" w:fill="FFFFFF"/>
        </w:rPr>
        <w:t>Expert systems with applications</w:t>
      </w:r>
      <w:r w:rsidRPr="00401A38">
        <w:rPr>
          <w:rFonts w:ascii="Times New Roman" w:hAnsi="Times New Roman" w:cs="Times New Roman"/>
          <w:color w:val="222222"/>
          <w:sz w:val="18"/>
          <w:szCs w:val="20"/>
          <w:shd w:val="clear" w:color="auto" w:fill="FFFFFF"/>
        </w:rPr>
        <w:t> 32, no. 2 (2007): 499-507.</w:t>
      </w:r>
    </w:p>
    <w:p w:rsidR="001A1811" w:rsidRPr="00401A38" w:rsidRDefault="001A1811" w:rsidP="002110C2">
      <w:pPr>
        <w:pStyle w:val="ListParagraph"/>
        <w:numPr>
          <w:ilvl w:val="0"/>
          <w:numId w:val="40"/>
        </w:numPr>
        <w:spacing w:before="0"/>
        <w:jc w:val="both"/>
        <w:rPr>
          <w:rFonts w:ascii="Times New Roman" w:hAnsi="Times New Roman" w:cs="Times New Roman"/>
          <w:b/>
          <w:sz w:val="18"/>
          <w:szCs w:val="20"/>
        </w:rPr>
      </w:pPr>
      <w:r w:rsidRPr="00401A38">
        <w:rPr>
          <w:rFonts w:ascii="Times New Roman" w:hAnsi="Times New Roman" w:cs="Times New Roman"/>
          <w:color w:val="222222"/>
          <w:sz w:val="18"/>
          <w:szCs w:val="20"/>
          <w:shd w:val="clear" w:color="auto" w:fill="FFFFFF"/>
        </w:rPr>
        <w:t>Lee, Wen-Shiung, Alex YiHou Huang, Yong-Yang Chang, and Chiao-Ming Cheng. "Analysis of decision making factors for equity investment by DEMATEL and Analytic Network Process." </w:t>
      </w:r>
      <w:r w:rsidRPr="00401A38">
        <w:rPr>
          <w:rFonts w:ascii="Times New Roman" w:hAnsi="Times New Roman" w:cs="Times New Roman"/>
          <w:iCs/>
          <w:color w:val="222222"/>
          <w:sz w:val="18"/>
          <w:szCs w:val="20"/>
          <w:shd w:val="clear" w:color="auto" w:fill="FFFFFF"/>
        </w:rPr>
        <w:t>Expert Systems with Applications</w:t>
      </w:r>
      <w:r w:rsidRPr="00401A38">
        <w:rPr>
          <w:rFonts w:ascii="Times New Roman" w:hAnsi="Times New Roman" w:cs="Times New Roman"/>
          <w:color w:val="222222"/>
          <w:sz w:val="18"/>
          <w:szCs w:val="20"/>
          <w:shd w:val="clear" w:color="auto" w:fill="FFFFFF"/>
        </w:rPr>
        <w:t> 38, no. 7 (2011): 8375-8383.</w:t>
      </w:r>
    </w:p>
    <w:p w:rsidR="001A1811" w:rsidRPr="00401A38" w:rsidRDefault="001A1811" w:rsidP="002110C2">
      <w:pPr>
        <w:pStyle w:val="ListParagraph"/>
        <w:numPr>
          <w:ilvl w:val="0"/>
          <w:numId w:val="40"/>
        </w:numPr>
        <w:spacing w:before="0"/>
        <w:jc w:val="both"/>
        <w:rPr>
          <w:rFonts w:ascii="Times New Roman" w:hAnsi="Times New Roman" w:cs="Times New Roman"/>
          <w:b/>
          <w:sz w:val="18"/>
          <w:szCs w:val="20"/>
        </w:rPr>
      </w:pPr>
      <w:r w:rsidRPr="00401A38">
        <w:rPr>
          <w:rFonts w:ascii="Times New Roman" w:hAnsi="Times New Roman" w:cs="Times New Roman"/>
          <w:color w:val="222222"/>
          <w:sz w:val="18"/>
          <w:szCs w:val="20"/>
          <w:shd w:val="clear" w:color="auto" w:fill="FFFFFF"/>
        </w:rPr>
        <w:t>Tsai, Wen-Hsien, and Wen-Chin Chou. "Selecting management systems for sustainable development in SMEs: A novel hybrid model based on DEMATEL, ANP, and ZOGP." </w:t>
      </w:r>
      <w:r w:rsidRPr="00401A38">
        <w:rPr>
          <w:rFonts w:ascii="Times New Roman" w:hAnsi="Times New Roman" w:cs="Times New Roman"/>
          <w:iCs/>
          <w:color w:val="222222"/>
          <w:sz w:val="18"/>
          <w:szCs w:val="20"/>
          <w:shd w:val="clear" w:color="auto" w:fill="FFFFFF"/>
        </w:rPr>
        <w:t>Expert systems with applications</w:t>
      </w:r>
      <w:r w:rsidRPr="00401A38">
        <w:rPr>
          <w:rFonts w:ascii="Times New Roman" w:hAnsi="Times New Roman" w:cs="Times New Roman"/>
          <w:color w:val="222222"/>
          <w:sz w:val="18"/>
          <w:szCs w:val="20"/>
          <w:shd w:val="clear" w:color="auto" w:fill="FFFFFF"/>
        </w:rPr>
        <w:t> 36, no. 2 (2009): 1444-1458.</w:t>
      </w:r>
    </w:p>
    <w:p w:rsidR="001A1811" w:rsidRPr="00401A38" w:rsidRDefault="001A1811" w:rsidP="002110C2">
      <w:pPr>
        <w:pStyle w:val="ListParagraph"/>
        <w:numPr>
          <w:ilvl w:val="0"/>
          <w:numId w:val="40"/>
        </w:numPr>
        <w:spacing w:before="0"/>
        <w:jc w:val="both"/>
        <w:rPr>
          <w:rFonts w:ascii="Times New Roman" w:hAnsi="Times New Roman" w:cs="Times New Roman"/>
          <w:b/>
          <w:sz w:val="18"/>
          <w:szCs w:val="20"/>
        </w:rPr>
      </w:pPr>
      <w:r w:rsidRPr="00401A38">
        <w:rPr>
          <w:rFonts w:ascii="Times New Roman" w:hAnsi="Times New Roman" w:cs="Times New Roman"/>
          <w:color w:val="222222"/>
          <w:sz w:val="18"/>
          <w:szCs w:val="20"/>
          <w:shd w:val="clear" w:color="auto" w:fill="FFFFFF"/>
        </w:rPr>
        <w:lastRenderedPageBreak/>
        <w:t>Kumar, Ashwani, and Gaurav Dixit. "An analysis of barriers affecting the implementation of e-waste management practices in India: A novel ISM-DEMATEL approach." </w:t>
      </w:r>
      <w:r w:rsidRPr="00401A38">
        <w:rPr>
          <w:rFonts w:ascii="Times New Roman" w:hAnsi="Times New Roman" w:cs="Times New Roman"/>
          <w:iCs/>
          <w:color w:val="222222"/>
          <w:sz w:val="18"/>
          <w:szCs w:val="20"/>
          <w:shd w:val="clear" w:color="auto" w:fill="FFFFFF"/>
        </w:rPr>
        <w:t>Sustainable Production and Consumption</w:t>
      </w:r>
      <w:r w:rsidRPr="00401A38">
        <w:rPr>
          <w:rFonts w:ascii="Times New Roman" w:hAnsi="Times New Roman" w:cs="Times New Roman"/>
          <w:color w:val="222222"/>
          <w:sz w:val="18"/>
          <w:szCs w:val="20"/>
          <w:shd w:val="clear" w:color="auto" w:fill="FFFFFF"/>
        </w:rPr>
        <w:t> 14 (2018): 36-52.</w:t>
      </w:r>
    </w:p>
    <w:p w:rsidR="001A1811" w:rsidRPr="00401A38" w:rsidRDefault="001A1811" w:rsidP="001A1811">
      <w:pPr>
        <w:pStyle w:val="ListParagraph"/>
        <w:numPr>
          <w:ilvl w:val="0"/>
          <w:numId w:val="40"/>
        </w:numPr>
        <w:spacing w:before="0"/>
        <w:jc w:val="both"/>
        <w:rPr>
          <w:rFonts w:ascii="Times New Roman" w:hAnsi="Times New Roman" w:cs="Times New Roman"/>
          <w:b/>
          <w:sz w:val="18"/>
          <w:szCs w:val="20"/>
        </w:rPr>
      </w:pPr>
      <w:r w:rsidRPr="00401A38">
        <w:rPr>
          <w:rFonts w:ascii="Times New Roman" w:hAnsi="Times New Roman" w:cs="Times New Roman"/>
          <w:color w:val="222222"/>
          <w:sz w:val="18"/>
          <w:szCs w:val="20"/>
          <w:shd w:val="clear" w:color="auto" w:fill="FFFFFF"/>
        </w:rPr>
        <w:t>Si, Sheng-Li, Xiao-Yue You, Hu-Chen Liu, and Ping Zhang. "DEMATEL technique: A systematic review of the state-of-the-art literature on methodologies and applications." </w:t>
      </w:r>
      <w:r w:rsidRPr="00401A38">
        <w:rPr>
          <w:rFonts w:ascii="Times New Roman" w:hAnsi="Times New Roman" w:cs="Times New Roman"/>
          <w:iCs/>
          <w:color w:val="222222"/>
          <w:sz w:val="18"/>
          <w:szCs w:val="20"/>
          <w:shd w:val="clear" w:color="auto" w:fill="FFFFFF"/>
        </w:rPr>
        <w:t>Mathematical Problems in Engineering</w:t>
      </w:r>
      <w:r w:rsidRPr="00401A38">
        <w:rPr>
          <w:rFonts w:ascii="Times New Roman" w:hAnsi="Times New Roman" w:cs="Times New Roman"/>
          <w:color w:val="222222"/>
          <w:sz w:val="18"/>
          <w:szCs w:val="20"/>
          <w:shd w:val="clear" w:color="auto" w:fill="FFFFFF"/>
        </w:rPr>
        <w:t> 2018 (2018).</w:t>
      </w:r>
    </w:p>
    <w:p w:rsidR="001A1811" w:rsidRPr="00401A38" w:rsidRDefault="001A1811" w:rsidP="001A1811">
      <w:pPr>
        <w:pStyle w:val="ListParagraph"/>
        <w:numPr>
          <w:ilvl w:val="0"/>
          <w:numId w:val="40"/>
        </w:numPr>
        <w:spacing w:before="0"/>
        <w:jc w:val="both"/>
        <w:rPr>
          <w:rFonts w:ascii="Times New Roman" w:hAnsi="Times New Roman" w:cs="Times New Roman"/>
          <w:b/>
          <w:sz w:val="18"/>
          <w:szCs w:val="20"/>
        </w:rPr>
      </w:pPr>
      <w:r w:rsidRPr="00401A38">
        <w:rPr>
          <w:rFonts w:ascii="Times New Roman" w:hAnsi="Times New Roman" w:cs="Times New Roman"/>
          <w:color w:val="222222"/>
          <w:sz w:val="18"/>
          <w:szCs w:val="20"/>
          <w:shd w:val="clear" w:color="auto" w:fill="FFFFFF"/>
        </w:rPr>
        <w:t>Yazdi, Mohammad, Faisal Khan, RouzbehAbbassi, and RiszaRusli. "Improved DEMATEL methodology for effective safety management decision-making." </w:t>
      </w:r>
      <w:r w:rsidRPr="00401A38">
        <w:rPr>
          <w:rFonts w:ascii="Times New Roman" w:hAnsi="Times New Roman" w:cs="Times New Roman"/>
          <w:iCs/>
          <w:color w:val="222222"/>
          <w:sz w:val="18"/>
          <w:szCs w:val="20"/>
          <w:shd w:val="clear" w:color="auto" w:fill="FFFFFF"/>
        </w:rPr>
        <w:t>Safety science</w:t>
      </w:r>
      <w:r w:rsidRPr="00401A38">
        <w:rPr>
          <w:rFonts w:ascii="Times New Roman" w:hAnsi="Times New Roman" w:cs="Times New Roman"/>
          <w:color w:val="222222"/>
          <w:sz w:val="18"/>
          <w:szCs w:val="20"/>
          <w:shd w:val="clear" w:color="auto" w:fill="FFFFFF"/>
        </w:rPr>
        <w:t> 127 (2020): 104705.</w:t>
      </w:r>
    </w:p>
    <w:p w:rsidR="001A1811" w:rsidRPr="00401A38" w:rsidRDefault="001A1811" w:rsidP="001A1811">
      <w:pPr>
        <w:pStyle w:val="ListParagraph"/>
        <w:numPr>
          <w:ilvl w:val="0"/>
          <w:numId w:val="40"/>
        </w:numPr>
        <w:spacing w:before="0"/>
        <w:jc w:val="both"/>
        <w:rPr>
          <w:rFonts w:ascii="Times New Roman" w:hAnsi="Times New Roman" w:cs="Times New Roman"/>
          <w:b/>
          <w:sz w:val="18"/>
          <w:szCs w:val="20"/>
        </w:rPr>
      </w:pPr>
      <w:r w:rsidRPr="00401A38">
        <w:rPr>
          <w:rFonts w:ascii="Times New Roman" w:hAnsi="Times New Roman" w:cs="Times New Roman"/>
          <w:color w:val="222222"/>
          <w:sz w:val="18"/>
          <w:szCs w:val="20"/>
          <w:shd w:val="clear" w:color="auto" w:fill="FFFFFF"/>
        </w:rPr>
        <w:t>Zhang, Weiquan, and Yong Deng. "Combining conflicting evidence using the DEMATEL method." </w:t>
      </w:r>
      <w:r w:rsidRPr="00401A38">
        <w:rPr>
          <w:rFonts w:ascii="Times New Roman" w:hAnsi="Times New Roman" w:cs="Times New Roman"/>
          <w:iCs/>
          <w:color w:val="222222"/>
          <w:sz w:val="18"/>
          <w:szCs w:val="20"/>
          <w:shd w:val="clear" w:color="auto" w:fill="FFFFFF"/>
        </w:rPr>
        <w:t>Soft computing</w:t>
      </w:r>
      <w:r w:rsidRPr="00401A38">
        <w:rPr>
          <w:rFonts w:ascii="Times New Roman" w:hAnsi="Times New Roman" w:cs="Times New Roman"/>
          <w:color w:val="222222"/>
          <w:sz w:val="18"/>
          <w:szCs w:val="20"/>
          <w:shd w:val="clear" w:color="auto" w:fill="FFFFFF"/>
        </w:rPr>
        <w:t> 23, no. 17 (2019): 8207-8216.</w:t>
      </w:r>
    </w:p>
    <w:p w:rsidR="00A03D67" w:rsidRPr="00730239" w:rsidRDefault="001A1811" w:rsidP="00401A38">
      <w:pPr>
        <w:pStyle w:val="ListParagraph"/>
        <w:numPr>
          <w:ilvl w:val="0"/>
          <w:numId w:val="40"/>
        </w:numPr>
        <w:spacing w:before="0"/>
        <w:jc w:val="both"/>
        <w:rPr>
          <w:rFonts w:eastAsia="Calibri"/>
          <w:b/>
          <w:sz w:val="24"/>
          <w:szCs w:val="20"/>
        </w:rPr>
      </w:pPr>
      <w:r w:rsidRPr="00401A38">
        <w:rPr>
          <w:rFonts w:ascii="Times New Roman" w:hAnsi="Times New Roman" w:cs="Times New Roman"/>
          <w:color w:val="222222"/>
          <w:sz w:val="18"/>
          <w:szCs w:val="20"/>
          <w:shd w:val="clear" w:color="auto" w:fill="FFFFFF"/>
        </w:rPr>
        <w:t>Lee, Hsuan-Shih, Gwo-HshiungTzeng, WeichungYeih, Yu-Jie Wang, and Shing-Chih Yang. "Revised DEMATEL: resolving the infeasibility of DEMATEL." </w:t>
      </w:r>
      <w:r w:rsidRPr="00401A38">
        <w:rPr>
          <w:rFonts w:ascii="Times New Roman" w:hAnsi="Times New Roman" w:cs="Times New Roman"/>
          <w:iCs/>
          <w:color w:val="222222"/>
          <w:sz w:val="18"/>
          <w:szCs w:val="20"/>
          <w:shd w:val="clear" w:color="auto" w:fill="FFFFFF"/>
        </w:rPr>
        <w:t>Applied Mathematical Modelling</w:t>
      </w:r>
      <w:r w:rsidRPr="00401A38">
        <w:rPr>
          <w:rFonts w:ascii="Times New Roman" w:hAnsi="Times New Roman" w:cs="Times New Roman"/>
          <w:color w:val="222222"/>
          <w:sz w:val="18"/>
          <w:szCs w:val="20"/>
          <w:shd w:val="clear" w:color="auto" w:fill="FFFFFF"/>
        </w:rPr>
        <w:t> 37, no. 10-11</w:t>
      </w:r>
      <w:r w:rsidR="00401A38">
        <w:rPr>
          <w:rFonts w:ascii="Times New Roman" w:hAnsi="Times New Roman" w:cs="Times New Roman"/>
          <w:color w:val="222222"/>
          <w:sz w:val="18"/>
          <w:szCs w:val="20"/>
          <w:shd w:val="clear" w:color="auto" w:fill="FFFFFF"/>
        </w:rPr>
        <w:t>.</w:t>
      </w:r>
      <w:r w:rsidRPr="00401A38">
        <w:rPr>
          <w:rFonts w:ascii="Times New Roman" w:hAnsi="Times New Roman" w:cs="Times New Roman"/>
          <w:color w:val="222222"/>
          <w:sz w:val="18"/>
          <w:szCs w:val="20"/>
          <w:shd w:val="clear" w:color="auto" w:fill="FFFFFF"/>
        </w:rPr>
        <w:t xml:space="preserve"> </w:t>
      </w:r>
    </w:p>
    <w:sectPr w:rsidR="00A03D67" w:rsidRPr="00730239" w:rsidSect="009A2B45">
      <w:headerReference w:type="even" r:id="rId14"/>
      <w:headerReference w:type="default" r:id="rId15"/>
      <w:footerReference w:type="even" r:id="rId16"/>
      <w:footerReference w:type="default" r:id="rId17"/>
      <w:pgSz w:w="11908" w:h="16836"/>
      <w:pgMar w:top="1440" w:right="1560" w:bottom="1440" w:left="1276" w:header="726" w:footer="821" w:gutter="0"/>
      <w:pgNumType w:start="2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81E" w:rsidRDefault="00E2381E">
      <w:pPr>
        <w:spacing w:after="0"/>
      </w:pPr>
      <w:r>
        <w:separator/>
      </w:r>
    </w:p>
  </w:endnote>
  <w:endnote w:type="continuationSeparator" w:id="1">
    <w:p w:rsidR="00E2381E" w:rsidRDefault="00E2381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Bold">
    <w:panose1 w:val="00000000000000000000"/>
    <w:charset w:val="00"/>
    <w:family w:val="roman"/>
    <w:notTrueType/>
    <w:pitch w:val="default"/>
    <w:sig w:usb0="00000003" w:usb1="00000000" w:usb2="00000000" w:usb3="00000000" w:csb0="00000001" w:csb1="00000000"/>
  </w:font>
  <w:font w:name="NlftlmAdvTT3713a231">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DD" w:rsidRDefault="00CA1AF3">
    <w:pPr>
      <w:spacing w:after="0" w:line="259" w:lineRule="auto"/>
      <w:jc w:val="left"/>
    </w:pPr>
    <w:r w:rsidRPr="00CA1AF3">
      <w:rPr>
        <w:rFonts w:ascii="Calibri" w:eastAsia="Calibri" w:hAnsi="Calibri" w:cs="Calibri"/>
        <w:noProof/>
        <w:sz w:val="22"/>
        <w:lang w:val="en-IN" w:eastAsia="en-IN"/>
      </w:rPr>
      <w:pict>
        <v:group id="Group 9813" o:spid="_x0000_s1027" style="position:absolute;margin-left:41.2pt;margin-top:781.2pt;width:499pt;height:.6pt;z-index:251660288;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Et9swvPAwAAHwoA&#10;AA4AAAAAAAAAAAAAAAAALgIAAGRycy9lMm9Eb2MueG1sUEsBAi0AFAAGAAgAAAAhAEKv7A3gAAAA&#10;DQEAAA8AAAAAAAAAAAAAAAAAKQYAAGRycy9kb3ducmV2LnhtbFBLBQYAAAAABAAEAPMAAAA2BwAA&#10;AAA=&#10;">
          <v:shape id="Shape 10089" o:spid="_x0000_s1028"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w:r>
    <w:r w:rsidR="009048DD">
      <w:rPr>
        <w:rFonts w:ascii="Arial" w:eastAsia="Arial" w:hAnsi="Arial" w:cs="Arial"/>
        <w:b/>
        <w:sz w:val="16"/>
      </w:rPr>
      <w:t xml:space="preserve">Copyright@ REST Publisher                                                                                                                                                                   </w:t>
    </w:r>
    <w:r w:rsidRPr="00CA1AF3">
      <w:fldChar w:fldCharType="begin"/>
    </w:r>
    <w:r w:rsidR="009048DD">
      <w:instrText xml:space="preserve"> PAGE   \* MERGEFORMAT </w:instrText>
    </w:r>
    <w:r w:rsidRPr="00CA1AF3">
      <w:fldChar w:fldCharType="separate"/>
    </w:r>
    <w:r w:rsidR="009048DD">
      <w:rPr>
        <w:rFonts w:ascii="Arial" w:eastAsia="Arial" w:hAnsi="Arial" w:cs="Arial"/>
        <w:sz w:val="16"/>
      </w:rPr>
      <w:t>95</w:t>
    </w:r>
    <w:r>
      <w:rPr>
        <w:rFonts w:ascii="Arial" w:eastAsia="Arial" w:hAnsi="Arial" w:cs="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DD" w:rsidRDefault="00CA1AF3">
    <w:pPr>
      <w:spacing w:after="0" w:line="259" w:lineRule="auto"/>
      <w:jc w:val="left"/>
    </w:pPr>
    <w:r w:rsidRPr="00CA1AF3">
      <w:rPr>
        <w:rFonts w:ascii="Calibri" w:eastAsia="Calibri" w:hAnsi="Calibri" w:cs="Calibri"/>
        <w:noProof/>
        <w:sz w:val="22"/>
        <w:lang w:val="en-IN" w:eastAsia="en-IN"/>
      </w:rPr>
      <w:pict>
        <v:group id="Group 9775" o:spid="_x0000_s1025" style="position:absolute;margin-left:41.2pt;margin-top:781.2pt;width:499pt;height:.6pt;z-index:251661312;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PPW2Y7PAwAAHgoA&#10;AA4AAAAAAAAAAAAAAAAALgIAAGRycy9lMm9Eb2MueG1sUEsBAi0AFAAGAAgAAAAhAEKv7A3gAAAA&#10;DQEAAA8AAAAAAAAAAAAAAAAAKQYAAGRycy9kb3ducmV2LnhtbFBLBQYAAAAABAAEAPMAAAA2BwAA&#10;AAA=&#10;">
          <v:shape id="Shape 10087" o:spid="_x0000_s1026"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w:r>
    <w:r w:rsidR="009048DD">
      <w:rPr>
        <w:rFonts w:ascii="Arial" w:eastAsia="Arial" w:hAnsi="Arial" w:cs="Arial"/>
        <w:b/>
        <w:sz w:val="16"/>
      </w:rPr>
      <w:t xml:space="preserve">Copyright@ REST Publisher                                                                                                                                     </w:t>
    </w:r>
    <w:r w:rsidRPr="00CA1AF3">
      <w:fldChar w:fldCharType="begin"/>
    </w:r>
    <w:r w:rsidR="009048DD">
      <w:instrText xml:space="preserve"> PAGE   \* MERGEFORMAT </w:instrText>
    </w:r>
    <w:r w:rsidRPr="00CA1AF3">
      <w:fldChar w:fldCharType="separate"/>
    </w:r>
    <w:r w:rsidR="00A74D31" w:rsidRPr="00A74D31">
      <w:rPr>
        <w:rFonts w:ascii="Arial" w:eastAsia="Arial" w:hAnsi="Arial" w:cs="Arial"/>
        <w:noProof/>
        <w:sz w:val="16"/>
      </w:rPr>
      <w:t>20</w:t>
    </w:r>
    <w:r>
      <w:rPr>
        <w:rFonts w:ascii="Arial" w:eastAsia="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81E" w:rsidRDefault="00E2381E">
      <w:pPr>
        <w:spacing w:after="0"/>
      </w:pPr>
      <w:r>
        <w:separator/>
      </w:r>
    </w:p>
  </w:footnote>
  <w:footnote w:type="continuationSeparator" w:id="1">
    <w:p w:rsidR="00E2381E" w:rsidRDefault="00E2381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DD" w:rsidRDefault="00CA1AF3">
    <w:pPr>
      <w:spacing w:after="0" w:line="259" w:lineRule="auto"/>
      <w:ind w:left="17"/>
    </w:pPr>
    <w:r w:rsidRPr="00CA1AF3">
      <w:rPr>
        <w:rFonts w:ascii="Calibri" w:eastAsia="Calibri" w:hAnsi="Calibri" w:cs="Calibri"/>
        <w:noProof/>
        <w:sz w:val="22"/>
        <w:lang w:val="en-IN" w:eastAsia="en-IN"/>
      </w:rPr>
      <w:pict>
        <v:group id="Group 9799" o:spid="_x0000_s1030" style="position:absolute;left:0;text-align:left;margin-left:41.2pt;margin-top:49.4pt;width:499pt;height:.8pt;z-index:251658240;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">
          <v:shape id="Shape 10083" o:spid="_x0000_s1031"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w:r>
    <w:r w:rsidR="009048DD">
      <w:rPr>
        <w:sz w:val="14"/>
      </w:rPr>
      <w:t>Chalise</w:t>
    </w:r>
    <w:r w:rsidR="009048DD">
      <w:t>.</w:t>
    </w:r>
    <w:r w:rsidR="009048DD">
      <w:rPr>
        <w:sz w:val="16"/>
      </w:rPr>
      <w:t xml:space="preserve"> et.al </w:t>
    </w:r>
    <w:r w:rsidR="009048DD">
      <w:rPr>
        <w:sz w:val="14"/>
      </w:rPr>
      <w:t>/</w:t>
    </w:r>
    <w:r w:rsidR="009048DD">
      <w:rPr>
        <w:rFonts w:ascii="Arial" w:eastAsia="Arial" w:hAnsi="Arial" w:cs="Arial"/>
        <w:i/>
        <w:sz w:val="14"/>
      </w:rPr>
      <w:t xml:space="preserve"> REST Journal on Emerging trends in Modelling and Manufacturing 6(4) 2020, 95-99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DD" w:rsidRPr="00B8260B" w:rsidRDefault="00CA1AF3" w:rsidP="00F466A9">
    <w:pPr>
      <w:spacing w:after="0" w:line="259" w:lineRule="auto"/>
      <w:rPr>
        <w:i/>
      </w:rPr>
    </w:pPr>
    <w:r w:rsidRPr="00CA1AF3">
      <w:rPr>
        <w:rFonts w:eastAsia="Calibri"/>
        <w:i/>
        <w:noProof/>
        <w:sz w:val="14"/>
        <w:szCs w:val="14"/>
        <w:lang w:val="en-IN" w:eastAsia="en-IN"/>
      </w:rPr>
      <w:pict>
        <v:shapetype id="_x0000_t32" coordsize="21600,21600" o:spt="32" o:oned="t" path="m,l21600,21600e" filled="f">
          <v:path arrowok="t" fillok="f" o:connecttype="none"/>
          <o:lock v:ext="edit" shapetype="t"/>
        </v:shapetype>
        <v:shape id="AutoShape 13" o:spid="_x0000_s1029" type="#_x0000_t32" style="position:absolute;left:0;text-align:left;margin-left:-2.25pt;margin-top:21.45pt;width:489.75pt;height: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"/>
      </w:pict>
    </w:r>
    <w:r w:rsidR="009048DD" w:rsidRPr="001D7A79">
      <w:rPr>
        <w:i/>
        <w:sz w:val="14"/>
        <w:szCs w:val="48"/>
      </w:rPr>
      <w:t xml:space="preserve"> </w:t>
    </w:r>
    <w:r w:rsidR="00401A38" w:rsidRPr="00401A38">
      <w:rPr>
        <w:i/>
        <w:sz w:val="14"/>
        <w:szCs w:val="48"/>
      </w:rPr>
      <w:t>Vimala Saravanan</w:t>
    </w:r>
    <w:r w:rsidR="009048DD" w:rsidRPr="008D2821">
      <w:rPr>
        <w:i/>
        <w:sz w:val="14"/>
        <w:szCs w:val="16"/>
      </w:rPr>
      <w:t>.et.al /</w:t>
    </w:r>
    <w:r w:rsidR="009048DD" w:rsidRPr="008D2821">
      <w:rPr>
        <w:b/>
        <w:bCs/>
        <w:noProof/>
        <w:sz w:val="14"/>
        <w:szCs w:val="16"/>
      </w:rPr>
      <w:t xml:space="preserve"> </w:t>
    </w:r>
    <w:r w:rsidR="009048DD" w:rsidRPr="008D2821">
      <w:rPr>
        <w:bCs/>
        <w:i/>
        <w:noProof/>
        <w:sz w:val="14"/>
        <w:szCs w:val="16"/>
      </w:rPr>
      <w:t>Nursing Practice and Education,</w:t>
    </w:r>
    <w:r w:rsidR="009048DD" w:rsidRPr="008D2821">
      <w:rPr>
        <w:rFonts w:eastAsia="Arial"/>
        <w:i/>
        <w:sz w:val="14"/>
        <w:szCs w:val="16"/>
      </w:rPr>
      <w:t xml:space="preserve"> 1(</w:t>
    </w:r>
    <w:r w:rsidR="00401A38">
      <w:rPr>
        <w:rFonts w:eastAsia="Arial"/>
        <w:i/>
        <w:sz w:val="14"/>
        <w:szCs w:val="16"/>
      </w:rPr>
      <w:t>1</w:t>
    </w:r>
    <w:r w:rsidR="009048DD" w:rsidRPr="008D2821">
      <w:rPr>
        <w:rFonts w:eastAsia="Arial"/>
        <w:i/>
        <w:sz w:val="14"/>
        <w:szCs w:val="16"/>
      </w:rPr>
      <w:t>)</w:t>
    </w:r>
    <w:r w:rsidR="00401A38">
      <w:rPr>
        <w:rFonts w:eastAsia="Arial"/>
        <w:i/>
        <w:sz w:val="14"/>
        <w:szCs w:val="16"/>
      </w:rPr>
      <w:t>,</w:t>
    </w:r>
    <w:r w:rsidR="009048DD" w:rsidRPr="008D2821">
      <w:rPr>
        <w:rFonts w:eastAsia="Arial"/>
        <w:i/>
        <w:sz w:val="14"/>
        <w:szCs w:val="16"/>
      </w:rPr>
      <w:t xml:space="preserve"> </w:t>
    </w:r>
    <w:r w:rsidR="00401A38" w:rsidRPr="00401A38">
      <w:rPr>
        <w:i/>
        <w:sz w:val="14"/>
        <w:szCs w:val="26"/>
      </w:rPr>
      <w:t>March 2024</w:t>
    </w:r>
    <w:r w:rsidR="009048DD" w:rsidRPr="008D2821">
      <w:rPr>
        <w:rFonts w:eastAsia="Arial"/>
        <w:i/>
        <w:sz w:val="14"/>
        <w:szCs w:val="16"/>
      </w:rPr>
      <w:t xml:space="preserve">, </w:t>
    </w:r>
    <w:r w:rsidR="009A2B45">
      <w:rPr>
        <w:rFonts w:eastAsia="Arial"/>
        <w:i/>
        <w:sz w:val="14"/>
        <w:szCs w:val="16"/>
      </w:rPr>
      <w:t>20</w:t>
    </w:r>
    <w:r w:rsidR="009048DD" w:rsidRPr="008D2821">
      <w:rPr>
        <w:rFonts w:eastAsia="Arial"/>
        <w:i/>
        <w:sz w:val="14"/>
        <w:szCs w:val="16"/>
      </w:rPr>
      <w:t>-</w:t>
    </w:r>
    <w:r w:rsidR="009A2B45">
      <w:rPr>
        <w:rFonts w:eastAsia="Arial"/>
        <w:i/>
        <w:sz w:val="14"/>
        <w:szCs w:val="16"/>
      </w:rPr>
      <w:t>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214"/>
    <w:multiLevelType w:val="hybridMultilevel"/>
    <w:tmpl w:val="1E82BC9A"/>
    <w:lvl w:ilvl="0" w:tplc="0DC82C5C">
      <w:start w:val="1"/>
      <w:numFmt w:val="decimal"/>
      <w:suff w:val="nothing"/>
      <w:lvlText w:val="(%1)"/>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E5B95"/>
    <w:multiLevelType w:val="multilevel"/>
    <w:tmpl w:val="230E3E8E"/>
    <w:lvl w:ilvl="0">
      <w:start w:val="1"/>
      <w:numFmt w:val="upperLetter"/>
      <w:lvlText w:val="%1."/>
      <w:lvlJc w:val="left"/>
      <w:pPr>
        <w:ind w:left="462" w:hanging="360"/>
      </w:pPr>
      <w:rPr>
        <w:rFonts w:ascii="Times New Roman" w:eastAsia="Times New Roman" w:hAnsi="Times New Roman" w:cs="Times New Roman"/>
        <w:b/>
        <w:i/>
        <w:sz w:val="20"/>
        <w:szCs w:val="20"/>
      </w:rPr>
    </w:lvl>
    <w:lvl w:ilvl="1">
      <w:start w:val="1"/>
      <w:numFmt w:val="decimal"/>
      <w:lvlText w:val="%2."/>
      <w:lvlJc w:val="left"/>
      <w:pPr>
        <w:ind w:left="1182" w:hanging="360"/>
      </w:pPr>
      <w:rPr>
        <w:rFonts w:ascii="Times New Roman" w:eastAsia="Times New Roman" w:hAnsi="Times New Roman" w:cs="Times New Roman"/>
        <w:sz w:val="20"/>
        <w:szCs w:val="20"/>
      </w:rPr>
    </w:lvl>
    <w:lvl w:ilvl="2">
      <w:start w:val="1"/>
      <w:numFmt w:val="bullet"/>
      <w:lvlText w:val="•"/>
      <w:lvlJc w:val="left"/>
      <w:pPr>
        <w:ind w:left="1740" w:hanging="360"/>
      </w:pPr>
    </w:lvl>
    <w:lvl w:ilvl="3">
      <w:start w:val="1"/>
      <w:numFmt w:val="bullet"/>
      <w:lvlText w:val="•"/>
      <w:lvlJc w:val="left"/>
      <w:pPr>
        <w:ind w:left="2782" w:hanging="360"/>
      </w:pPr>
    </w:lvl>
    <w:lvl w:ilvl="4">
      <w:start w:val="1"/>
      <w:numFmt w:val="bullet"/>
      <w:lvlText w:val="•"/>
      <w:lvlJc w:val="left"/>
      <w:pPr>
        <w:ind w:left="3825" w:hanging="360"/>
      </w:pPr>
    </w:lvl>
    <w:lvl w:ilvl="5">
      <w:start w:val="1"/>
      <w:numFmt w:val="bullet"/>
      <w:lvlText w:val="•"/>
      <w:lvlJc w:val="left"/>
      <w:pPr>
        <w:ind w:left="4867" w:hanging="360"/>
      </w:pPr>
    </w:lvl>
    <w:lvl w:ilvl="6">
      <w:start w:val="1"/>
      <w:numFmt w:val="bullet"/>
      <w:lvlText w:val="•"/>
      <w:lvlJc w:val="left"/>
      <w:pPr>
        <w:ind w:left="5910" w:hanging="360"/>
      </w:pPr>
    </w:lvl>
    <w:lvl w:ilvl="7">
      <w:start w:val="1"/>
      <w:numFmt w:val="bullet"/>
      <w:lvlText w:val="•"/>
      <w:lvlJc w:val="left"/>
      <w:pPr>
        <w:ind w:left="6952" w:hanging="360"/>
      </w:pPr>
    </w:lvl>
    <w:lvl w:ilvl="8">
      <w:start w:val="1"/>
      <w:numFmt w:val="bullet"/>
      <w:lvlText w:val="•"/>
      <w:lvlJc w:val="left"/>
      <w:pPr>
        <w:ind w:left="7995" w:hanging="360"/>
      </w:pPr>
    </w:lvl>
  </w:abstractNum>
  <w:abstractNum w:abstractNumId="2">
    <w:nsid w:val="07C96D67"/>
    <w:multiLevelType w:val="hybridMultilevel"/>
    <w:tmpl w:val="51F0F1B0"/>
    <w:lvl w:ilvl="0" w:tplc="89B8CEA4">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69597A"/>
    <w:multiLevelType w:val="hybridMultilevel"/>
    <w:tmpl w:val="F2B48AB0"/>
    <w:lvl w:ilvl="0" w:tplc="F1C841F6">
      <w:start w:val="1"/>
      <w:numFmt w:val="decimal"/>
      <w:lvlText w:val="[%1]."/>
      <w:lvlJc w:val="left"/>
      <w:pPr>
        <w:ind w:left="720" w:hanging="360"/>
      </w:pPr>
      <w:rPr>
        <w:rFonts w:hint="default"/>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11085"/>
    <w:multiLevelType w:val="hybridMultilevel"/>
    <w:tmpl w:val="6772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C3B6B"/>
    <w:multiLevelType w:val="hybridMultilevel"/>
    <w:tmpl w:val="7C72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019C5"/>
    <w:multiLevelType w:val="hybridMultilevel"/>
    <w:tmpl w:val="7138F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632A4"/>
    <w:multiLevelType w:val="hybridMultilevel"/>
    <w:tmpl w:val="E3B4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D6E6A"/>
    <w:multiLevelType w:val="hybridMultilevel"/>
    <w:tmpl w:val="BD18B4E8"/>
    <w:lvl w:ilvl="0" w:tplc="ECB2221A">
      <w:start w:val="1"/>
      <w:numFmt w:val="decimal"/>
      <w:suff w:val="nothing"/>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4865102"/>
    <w:multiLevelType w:val="hybridMultilevel"/>
    <w:tmpl w:val="DBB69754"/>
    <w:lvl w:ilvl="0" w:tplc="33A6F3C6">
      <w:start w:val="1"/>
      <w:numFmt w:val="decimal"/>
      <w:lvlText w:val="%1."/>
      <w:lvlJc w:val="left"/>
      <w:pPr>
        <w:ind w:left="92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5625D"/>
    <w:multiLevelType w:val="multilevel"/>
    <w:tmpl w:val="BDF85D9A"/>
    <w:lvl w:ilvl="0">
      <w:start w:val="1"/>
      <w:numFmt w:val="lowerRoman"/>
      <w:lvlText w:val="%1."/>
      <w:lvlJc w:val="left"/>
      <w:pPr>
        <w:ind w:left="822" w:hanging="466"/>
      </w:pPr>
      <w:rPr>
        <w:rFonts w:ascii="Times New Roman" w:eastAsia="Times New Roman" w:hAnsi="Times New Roman" w:cs="Times New Roman"/>
        <w:sz w:val="20"/>
        <w:szCs w:val="20"/>
      </w:rPr>
    </w:lvl>
    <w:lvl w:ilvl="1">
      <w:start w:val="1"/>
      <w:numFmt w:val="bullet"/>
      <w:lvlText w:val="•"/>
      <w:lvlJc w:val="left"/>
      <w:pPr>
        <w:ind w:left="1746" w:hanging="466"/>
      </w:pPr>
    </w:lvl>
    <w:lvl w:ilvl="2">
      <w:start w:val="1"/>
      <w:numFmt w:val="bullet"/>
      <w:lvlText w:val="•"/>
      <w:lvlJc w:val="left"/>
      <w:pPr>
        <w:ind w:left="2672" w:hanging="466"/>
      </w:pPr>
    </w:lvl>
    <w:lvl w:ilvl="3">
      <w:start w:val="1"/>
      <w:numFmt w:val="bullet"/>
      <w:lvlText w:val="•"/>
      <w:lvlJc w:val="left"/>
      <w:pPr>
        <w:ind w:left="3598" w:hanging="466"/>
      </w:pPr>
    </w:lvl>
    <w:lvl w:ilvl="4">
      <w:start w:val="1"/>
      <w:numFmt w:val="bullet"/>
      <w:lvlText w:val="•"/>
      <w:lvlJc w:val="left"/>
      <w:pPr>
        <w:ind w:left="4524" w:hanging="466"/>
      </w:pPr>
    </w:lvl>
    <w:lvl w:ilvl="5">
      <w:start w:val="1"/>
      <w:numFmt w:val="bullet"/>
      <w:lvlText w:val="•"/>
      <w:lvlJc w:val="left"/>
      <w:pPr>
        <w:ind w:left="5450" w:hanging="466"/>
      </w:pPr>
    </w:lvl>
    <w:lvl w:ilvl="6">
      <w:start w:val="1"/>
      <w:numFmt w:val="bullet"/>
      <w:lvlText w:val="•"/>
      <w:lvlJc w:val="left"/>
      <w:pPr>
        <w:ind w:left="6376" w:hanging="466"/>
      </w:pPr>
    </w:lvl>
    <w:lvl w:ilvl="7">
      <w:start w:val="1"/>
      <w:numFmt w:val="bullet"/>
      <w:lvlText w:val="•"/>
      <w:lvlJc w:val="left"/>
      <w:pPr>
        <w:ind w:left="7302" w:hanging="466"/>
      </w:pPr>
    </w:lvl>
    <w:lvl w:ilvl="8">
      <w:start w:val="1"/>
      <w:numFmt w:val="bullet"/>
      <w:lvlText w:val="•"/>
      <w:lvlJc w:val="left"/>
      <w:pPr>
        <w:ind w:left="8228" w:hanging="466"/>
      </w:pPr>
    </w:lvl>
  </w:abstractNum>
  <w:abstractNum w:abstractNumId="11">
    <w:nsid w:val="27E82F81"/>
    <w:multiLevelType w:val="multilevel"/>
    <w:tmpl w:val="599AEE34"/>
    <w:lvl w:ilvl="0">
      <w:start w:val="1"/>
      <w:numFmt w:val="bullet"/>
      <w:lvlText w:val="●"/>
      <w:lvlJc w:val="left"/>
      <w:pPr>
        <w:ind w:left="822" w:hanging="360"/>
      </w:pPr>
      <w:rPr>
        <w:rFonts w:ascii="Noto Sans Symbols" w:eastAsia="Noto Sans Symbols" w:hAnsi="Noto Sans Symbols" w:cs="Noto Sans Symbols"/>
        <w:sz w:val="20"/>
        <w:szCs w:val="20"/>
      </w:rPr>
    </w:lvl>
    <w:lvl w:ilvl="1">
      <w:start w:val="1"/>
      <w:numFmt w:val="bullet"/>
      <w:lvlText w:val="•"/>
      <w:lvlJc w:val="left"/>
      <w:pPr>
        <w:ind w:left="1746" w:hanging="360"/>
      </w:pPr>
    </w:lvl>
    <w:lvl w:ilvl="2">
      <w:start w:val="1"/>
      <w:numFmt w:val="bullet"/>
      <w:lvlText w:val="•"/>
      <w:lvlJc w:val="left"/>
      <w:pPr>
        <w:ind w:left="2672" w:hanging="360"/>
      </w:pPr>
    </w:lvl>
    <w:lvl w:ilvl="3">
      <w:start w:val="1"/>
      <w:numFmt w:val="bullet"/>
      <w:lvlText w:val="•"/>
      <w:lvlJc w:val="left"/>
      <w:pPr>
        <w:ind w:left="3598" w:hanging="360"/>
      </w:pPr>
    </w:lvl>
    <w:lvl w:ilvl="4">
      <w:start w:val="1"/>
      <w:numFmt w:val="bullet"/>
      <w:lvlText w:val="•"/>
      <w:lvlJc w:val="left"/>
      <w:pPr>
        <w:ind w:left="4524" w:hanging="360"/>
      </w:pPr>
    </w:lvl>
    <w:lvl w:ilvl="5">
      <w:start w:val="1"/>
      <w:numFmt w:val="bullet"/>
      <w:lvlText w:val="•"/>
      <w:lvlJc w:val="left"/>
      <w:pPr>
        <w:ind w:left="5450" w:hanging="360"/>
      </w:pPr>
    </w:lvl>
    <w:lvl w:ilvl="6">
      <w:start w:val="1"/>
      <w:numFmt w:val="bullet"/>
      <w:lvlText w:val="•"/>
      <w:lvlJc w:val="left"/>
      <w:pPr>
        <w:ind w:left="6376" w:hanging="360"/>
      </w:pPr>
    </w:lvl>
    <w:lvl w:ilvl="7">
      <w:start w:val="1"/>
      <w:numFmt w:val="bullet"/>
      <w:lvlText w:val="•"/>
      <w:lvlJc w:val="left"/>
      <w:pPr>
        <w:ind w:left="7302" w:hanging="360"/>
      </w:pPr>
    </w:lvl>
    <w:lvl w:ilvl="8">
      <w:start w:val="1"/>
      <w:numFmt w:val="bullet"/>
      <w:lvlText w:val="•"/>
      <w:lvlJc w:val="left"/>
      <w:pPr>
        <w:ind w:left="8228" w:hanging="360"/>
      </w:pPr>
    </w:lvl>
  </w:abstractNum>
  <w:abstractNum w:abstractNumId="12">
    <w:nsid w:val="28DA7E20"/>
    <w:multiLevelType w:val="hybridMultilevel"/>
    <w:tmpl w:val="2D26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C6C2F"/>
    <w:multiLevelType w:val="hybridMultilevel"/>
    <w:tmpl w:val="1E62E0AE"/>
    <w:lvl w:ilvl="0" w:tplc="63B6B7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CEB6FAD"/>
    <w:multiLevelType w:val="multilevel"/>
    <w:tmpl w:val="025E3F30"/>
    <w:lvl w:ilvl="0">
      <w:start w:val="1"/>
      <w:numFmt w:val="bullet"/>
      <w:lvlText w:val=""/>
      <w:lvlJc w:val="left"/>
      <w:pPr>
        <w:ind w:left="822" w:hanging="360"/>
      </w:pPr>
    </w:lvl>
    <w:lvl w:ilvl="1">
      <w:start w:val="1"/>
      <w:numFmt w:val="bullet"/>
      <w:lvlText w:val="●"/>
      <w:lvlJc w:val="left"/>
      <w:pPr>
        <w:ind w:left="1542" w:hanging="360"/>
      </w:pPr>
      <w:rPr>
        <w:rFonts w:ascii="Noto Sans Symbols" w:eastAsia="Noto Sans Symbols" w:hAnsi="Noto Sans Symbols" w:cs="Noto Sans Symbols"/>
        <w:sz w:val="20"/>
        <w:szCs w:val="20"/>
      </w:rPr>
    </w:lvl>
    <w:lvl w:ilvl="2">
      <w:start w:val="1"/>
      <w:numFmt w:val="bullet"/>
      <w:lvlText w:val="•"/>
      <w:lvlJc w:val="left"/>
      <w:pPr>
        <w:ind w:left="2488" w:hanging="360"/>
      </w:pPr>
    </w:lvl>
    <w:lvl w:ilvl="3">
      <w:start w:val="1"/>
      <w:numFmt w:val="bullet"/>
      <w:lvlText w:val="•"/>
      <w:lvlJc w:val="left"/>
      <w:pPr>
        <w:ind w:left="3437" w:hanging="360"/>
      </w:pPr>
    </w:lvl>
    <w:lvl w:ilvl="4">
      <w:start w:val="1"/>
      <w:numFmt w:val="bullet"/>
      <w:lvlText w:val="•"/>
      <w:lvlJc w:val="left"/>
      <w:pPr>
        <w:ind w:left="4386" w:hanging="360"/>
      </w:pPr>
    </w:lvl>
    <w:lvl w:ilvl="5">
      <w:start w:val="1"/>
      <w:numFmt w:val="bullet"/>
      <w:lvlText w:val="•"/>
      <w:lvlJc w:val="left"/>
      <w:pPr>
        <w:ind w:left="5335" w:hanging="360"/>
      </w:pPr>
    </w:lvl>
    <w:lvl w:ilvl="6">
      <w:start w:val="1"/>
      <w:numFmt w:val="bullet"/>
      <w:lvlText w:val="•"/>
      <w:lvlJc w:val="left"/>
      <w:pPr>
        <w:ind w:left="6284" w:hanging="360"/>
      </w:pPr>
    </w:lvl>
    <w:lvl w:ilvl="7">
      <w:start w:val="1"/>
      <w:numFmt w:val="bullet"/>
      <w:lvlText w:val="•"/>
      <w:lvlJc w:val="left"/>
      <w:pPr>
        <w:ind w:left="7233" w:hanging="360"/>
      </w:pPr>
    </w:lvl>
    <w:lvl w:ilvl="8">
      <w:start w:val="1"/>
      <w:numFmt w:val="bullet"/>
      <w:lvlText w:val="•"/>
      <w:lvlJc w:val="left"/>
      <w:pPr>
        <w:ind w:left="8182" w:hanging="360"/>
      </w:pPr>
    </w:lvl>
  </w:abstractNum>
  <w:abstractNum w:abstractNumId="15">
    <w:nsid w:val="2D17195B"/>
    <w:multiLevelType w:val="hybridMultilevel"/>
    <w:tmpl w:val="A16E8332"/>
    <w:lvl w:ilvl="0" w:tplc="2A94F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94EF2"/>
    <w:multiLevelType w:val="hybridMultilevel"/>
    <w:tmpl w:val="D34241CA"/>
    <w:lvl w:ilvl="0" w:tplc="3EA4ADD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290900"/>
    <w:multiLevelType w:val="hybridMultilevel"/>
    <w:tmpl w:val="3AA2CFBE"/>
    <w:lvl w:ilvl="0" w:tplc="D7BAB75A">
      <w:start w:val="1"/>
      <w:numFmt w:val="decimal"/>
      <w:lvlText w:val="%1"/>
      <w:lvlJc w:val="left"/>
      <w:pPr>
        <w:ind w:left="1440" w:hanging="360"/>
      </w:pPr>
      <w:rPr>
        <w:rFonts w:hint="default"/>
        <w:sz w:val="20"/>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A7537A"/>
    <w:multiLevelType w:val="hybridMultilevel"/>
    <w:tmpl w:val="4874E544"/>
    <w:lvl w:ilvl="0" w:tplc="63B6B7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19073E3"/>
    <w:multiLevelType w:val="hybridMultilevel"/>
    <w:tmpl w:val="26028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3F2960"/>
    <w:multiLevelType w:val="hybridMultilevel"/>
    <w:tmpl w:val="946EC82C"/>
    <w:lvl w:ilvl="0" w:tplc="DBFCD55E">
      <w:start w:val="1"/>
      <w:numFmt w:val="decimal"/>
      <w:suff w:val="nothing"/>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039FD"/>
    <w:multiLevelType w:val="hybridMultilevel"/>
    <w:tmpl w:val="C9B8137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49C5652"/>
    <w:multiLevelType w:val="hybridMultilevel"/>
    <w:tmpl w:val="B72E08E0"/>
    <w:lvl w:ilvl="0" w:tplc="A1302656">
      <w:start w:val="1"/>
      <w:numFmt w:val="decimal"/>
      <w:lvlText w:val="[%1]."/>
      <w:lvlJc w:val="center"/>
      <w:pPr>
        <w:ind w:left="1440" w:hanging="360"/>
      </w:pPr>
      <w:rPr>
        <w:rFonts w:hint="default"/>
        <w:sz w:val="2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53CC00C3"/>
    <w:multiLevelType w:val="hybridMultilevel"/>
    <w:tmpl w:val="BFD8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15C6E"/>
    <w:multiLevelType w:val="hybridMultilevel"/>
    <w:tmpl w:val="46407966"/>
    <w:lvl w:ilvl="0" w:tplc="3EA4ADD0">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5">
    <w:nsid w:val="5F504362"/>
    <w:multiLevelType w:val="hybridMultilevel"/>
    <w:tmpl w:val="9C4452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FDB143A"/>
    <w:multiLevelType w:val="hybridMultilevel"/>
    <w:tmpl w:val="70641324"/>
    <w:lvl w:ilvl="0" w:tplc="9C7A98EC">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9F71A5"/>
    <w:multiLevelType w:val="multilevel"/>
    <w:tmpl w:val="146E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0329B"/>
    <w:multiLevelType w:val="multilevel"/>
    <w:tmpl w:val="2C007A96"/>
    <w:lvl w:ilvl="0">
      <w:start w:val="1"/>
      <w:numFmt w:val="upperRoman"/>
      <w:lvlText w:val="%1."/>
      <w:lvlJc w:val="left"/>
      <w:pPr>
        <w:ind w:left="4412" w:hanging="360"/>
      </w:pPr>
      <w:rPr>
        <w:rFonts w:ascii="Times New Roman" w:eastAsia="Times New Roman" w:hAnsi="Times New Roman" w:cs="Times New Roman"/>
        <w:b/>
        <w:sz w:val="20"/>
        <w:szCs w:val="20"/>
      </w:rPr>
    </w:lvl>
    <w:lvl w:ilvl="1">
      <w:start w:val="1"/>
      <w:numFmt w:val="bullet"/>
      <w:lvlText w:val="•"/>
      <w:lvlJc w:val="left"/>
      <w:pPr>
        <w:ind w:left="4986" w:hanging="360"/>
      </w:pPr>
    </w:lvl>
    <w:lvl w:ilvl="2">
      <w:start w:val="1"/>
      <w:numFmt w:val="bullet"/>
      <w:lvlText w:val="•"/>
      <w:lvlJc w:val="left"/>
      <w:pPr>
        <w:ind w:left="5552" w:hanging="360"/>
      </w:pPr>
    </w:lvl>
    <w:lvl w:ilvl="3">
      <w:start w:val="1"/>
      <w:numFmt w:val="bullet"/>
      <w:lvlText w:val="•"/>
      <w:lvlJc w:val="left"/>
      <w:pPr>
        <w:ind w:left="6118" w:hanging="360"/>
      </w:pPr>
    </w:lvl>
    <w:lvl w:ilvl="4">
      <w:start w:val="1"/>
      <w:numFmt w:val="bullet"/>
      <w:lvlText w:val="•"/>
      <w:lvlJc w:val="left"/>
      <w:pPr>
        <w:ind w:left="6684" w:hanging="360"/>
      </w:pPr>
    </w:lvl>
    <w:lvl w:ilvl="5">
      <w:start w:val="1"/>
      <w:numFmt w:val="bullet"/>
      <w:lvlText w:val="•"/>
      <w:lvlJc w:val="left"/>
      <w:pPr>
        <w:ind w:left="7250" w:hanging="360"/>
      </w:pPr>
    </w:lvl>
    <w:lvl w:ilvl="6">
      <w:start w:val="1"/>
      <w:numFmt w:val="bullet"/>
      <w:lvlText w:val="•"/>
      <w:lvlJc w:val="left"/>
      <w:pPr>
        <w:ind w:left="7816" w:hanging="360"/>
      </w:pPr>
    </w:lvl>
    <w:lvl w:ilvl="7">
      <w:start w:val="1"/>
      <w:numFmt w:val="bullet"/>
      <w:lvlText w:val="•"/>
      <w:lvlJc w:val="left"/>
      <w:pPr>
        <w:ind w:left="8382" w:hanging="360"/>
      </w:pPr>
    </w:lvl>
    <w:lvl w:ilvl="8">
      <w:start w:val="1"/>
      <w:numFmt w:val="bullet"/>
      <w:lvlText w:val="•"/>
      <w:lvlJc w:val="left"/>
      <w:pPr>
        <w:ind w:left="8948" w:hanging="360"/>
      </w:pPr>
    </w:lvl>
  </w:abstractNum>
  <w:abstractNum w:abstractNumId="29">
    <w:nsid w:val="617B71DF"/>
    <w:multiLevelType w:val="hybridMultilevel"/>
    <w:tmpl w:val="E9DE6D80"/>
    <w:lvl w:ilvl="0" w:tplc="508A0F64">
      <w:start w:val="1"/>
      <w:numFmt w:val="decimal"/>
      <w:suff w:val="nothing"/>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827AC"/>
    <w:multiLevelType w:val="multilevel"/>
    <w:tmpl w:val="85D0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AEA4ED4"/>
    <w:multiLevelType w:val="hybridMultilevel"/>
    <w:tmpl w:val="38961C70"/>
    <w:lvl w:ilvl="0" w:tplc="38AED2F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EA224F"/>
    <w:multiLevelType w:val="hybridMultilevel"/>
    <w:tmpl w:val="D6C4DCA8"/>
    <w:lvl w:ilvl="0" w:tplc="89146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B4DC8"/>
    <w:multiLevelType w:val="hybridMultilevel"/>
    <w:tmpl w:val="C9AA1070"/>
    <w:lvl w:ilvl="0" w:tplc="3EA4ADD0">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4">
    <w:nsid w:val="6DF777C5"/>
    <w:multiLevelType w:val="hybridMultilevel"/>
    <w:tmpl w:val="D27C9580"/>
    <w:lvl w:ilvl="0" w:tplc="7C6CBE58">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F04D74"/>
    <w:multiLevelType w:val="hybridMultilevel"/>
    <w:tmpl w:val="3CE22A54"/>
    <w:lvl w:ilvl="0" w:tplc="89B8CEA4">
      <w:start w:val="1"/>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4A0AE2"/>
    <w:multiLevelType w:val="hybridMultilevel"/>
    <w:tmpl w:val="520AB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65D05"/>
    <w:multiLevelType w:val="hybridMultilevel"/>
    <w:tmpl w:val="885E1D14"/>
    <w:lvl w:ilvl="0" w:tplc="F8C651C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FB5799"/>
    <w:multiLevelType w:val="hybridMultilevel"/>
    <w:tmpl w:val="808E3768"/>
    <w:lvl w:ilvl="0" w:tplc="3EA4ADD0">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9">
    <w:nsid w:val="7C0D41B8"/>
    <w:multiLevelType w:val="hybridMultilevel"/>
    <w:tmpl w:val="9526528A"/>
    <w:lvl w:ilvl="0" w:tplc="FE06BD58">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CDC45D6"/>
    <w:multiLevelType w:val="hybridMultilevel"/>
    <w:tmpl w:val="E5B4C41A"/>
    <w:lvl w:ilvl="0" w:tplc="3EA4ADD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34"/>
  </w:num>
  <w:num w:numId="3">
    <w:abstractNumId w:val="0"/>
  </w:num>
  <w:num w:numId="4">
    <w:abstractNumId w:val="9"/>
  </w:num>
  <w:num w:numId="5">
    <w:abstractNumId w:val="29"/>
  </w:num>
  <w:num w:numId="6">
    <w:abstractNumId w:val="20"/>
  </w:num>
  <w:num w:numId="7">
    <w:abstractNumId w:val="7"/>
  </w:num>
  <w:num w:numId="8">
    <w:abstractNumId w:val="1"/>
  </w:num>
  <w:num w:numId="9">
    <w:abstractNumId w:val="11"/>
  </w:num>
  <w:num w:numId="10">
    <w:abstractNumId w:val="28"/>
  </w:num>
  <w:num w:numId="11">
    <w:abstractNumId w:val="10"/>
  </w:num>
  <w:num w:numId="12">
    <w:abstractNumId w:val="14"/>
  </w:num>
  <w:num w:numId="13">
    <w:abstractNumId w:val="5"/>
  </w:num>
  <w:num w:numId="14">
    <w:abstractNumId w:val="23"/>
  </w:num>
  <w:num w:numId="15">
    <w:abstractNumId w:val="19"/>
  </w:num>
  <w:num w:numId="16">
    <w:abstractNumId w:val="25"/>
  </w:num>
  <w:num w:numId="17">
    <w:abstractNumId w:val="26"/>
  </w:num>
  <w:num w:numId="18">
    <w:abstractNumId w:val="12"/>
  </w:num>
  <w:num w:numId="19">
    <w:abstractNumId w:val="33"/>
  </w:num>
  <w:num w:numId="20">
    <w:abstractNumId w:val="38"/>
  </w:num>
  <w:num w:numId="21">
    <w:abstractNumId w:val="24"/>
  </w:num>
  <w:num w:numId="22">
    <w:abstractNumId w:val="16"/>
  </w:num>
  <w:num w:numId="23">
    <w:abstractNumId w:val="27"/>
  </w:num>
  <w:num w:numId="24">
    <w:abstractNumId w:val="39"/>
  </w:num>
  <w:num w:numId="25">
    <w:abstractNumId w:val="32"/>
  </w:num>
  <w:num w:numId="26">
    <w:abstractNumId w:val="3"/>
  </w:num>
  <w:num w:numId="27">
    <w:abstractNumId w:val="17"/>
  </w:num>
  <w:num w:numId="28">
    <w:abstractNumId w:val="6"/>
  </w:num>
  <w:num w:numId="29">
    <w:abstractNumId w:val="4"/>
  </w:num>
  <w:num w:numId="30">
    <w:abstractNumId w:val="22"/>
  </w:num>
  <w:num w:numId="31">
    <w:abstractNumId w:val="40"/>
  </w:num>
  <w:num w:numId="32">
    <w:abstractNumId w:val="13"/>
  </w:num>
  <w:num w:numId="33">
    <w:abstractNumId w:val="2"/>
  </w:num>
  <w:num w:numId="34">
    <w:abstractNumId w:val="36"/>
  </w:num>
  <w:num w:numId="35">
    <w:abstractNumId w:val="37"/>
  </w:num>
  <w:num w:numId="36">
    <w:abstractNumId w:val="21"/>
  </w:num>
  <w:num w:numId="37">
    <w:abstractNumId w:val="35"/>
  </w:num>
  <w:num w:numId="38">
    <w:abstractNumId w:val="31"/>
  </w:num>
  <w:num w:numId="39">
    <w:abstractNumId w:val="30"/>
  </w:num>
  <w:num w:numId="40">
    <w:abstractNumId w:val="15"/>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characterSpacingControl w:val="doNotCompress"/>
  <w:hdrShapeDefaults>
    <o:shapedefaults v:ext="edit" spidmax="24578"/>
    <o:shapelayout v:ext="edit">
      <o:idmap v:ext="edit" data="1"/>
      <o:rules v:ext="edit">
        <o:r id="V:Rule2" type="connector" idref="#AutoShape 13"/>
      </o:rules>
    </o:shapelayout>
  </w:hdrShapeDefaults>
  <w:footnotePr>
    <w:footnote w:id="0"/>
    <w:footnote w:id="1"/>
  </w:footnotePr>
  <w:endnotePr>
    <w:endnote w:id="0"/>
    <w:endnote w:id="1"/>
  </w:endnotePr>
  <w:compat>
    <w:useFELayout/>
  </w:compat>
  <w:rsids>
    <w:rsidRoot w:val="008D7A21"/>
    <w:rsid w:val="00002DF8"/>
    <w:rsid w:val="00003C05"/>
    <w:rsid w:val="00003EBE"/>
    <w:rsid w:val="00004461"/>
    <w:rsid w:val="000068BD"/>
    <w:rsid w:val="000103E7"/>
    <w:rsid w:val="00010620"/>
    <w:rsid w:val="000114F4"/>
    <w:rsid w:val="0001323C"/>
    <w:rsid w:val="00014DCB"/>
    <w:rsid w:val="00022E02"/>
    <w:rsid w:val="000234B5"/>
    <w:rsid w:val="000252D5"/>
    <w:rsid w:val="00026932"/>
    <w:rsid w:val="000278C8"/>
    <w:rsid w:val="000279B6"/>
    <w:rsid w:val="00032A4E"/>
    <w:rsid w:val="00033A54"/>
    <w:rsid w:val="00034CA1"/>
    <w:rsid w:val="00034DF3"/>
    <w:rsid w:val="00036EAF"/>
    <w:rsid w:val="000402B8"/>
    <w:rsid w:val="00040502"/>
    <w:rsid w:val="00043F16"/>
    <w:rsid w:val="0004526B"/>
    <w:rsid w:val="000453E6"/>
    <w:rsid w:val="000463B6"/>
    <w:rsid w:val="00047AB7"/>
    <w:rsid w:val="0005060B"/>
    <w:rsid w:val="00051430"/>
    <w:rsid w:val="00051F1F"/>
    <w:rsid w:val="0005281A"/>
    <w:rsid w:val="00053118"/>
    <w:rsid w:val="0005705C"/>
    <w:rsid w:val="00057BF6"/>
    <w:rsid w:val="00061DB6"/>
    <w:rsid w:val="00064076"/>
    <w:rsid w:val="00065D28"/>
    <w:rsid w:val="00066C96"/>
    <w:rsid w:val="00067E98"/>
    <w:rsid w:val="00070239"/>
    <w:rsid w:val="000734E2"/>
    <w:rsid w:val="00073E2D"/>
    <w:rsid w:val="00074AC4"/>
    <w:rsid w:val="00074B9F"/>
    <w:rsid w:val="0008077C"/>
    <w:rsid w:val="000825EF"/>
    <w:rsid w:val="00082A3A"/>
    <w:rsid w:val="00085D3B"/>
    <w:rsid w:val="00086011"/>
    <w:rsid w:val="000860D8"/>
    <w:rsid w:val="00087517"/>
    <w:rsid w:val="000903F9"/>
    <w:rsid w:val="00091615"/>
    <w:rsid w:val="00093323"/>
    <w:rsid w:val="00095E6A"/>
    <w:rsid w:val="0009619C"/>
    <w:rsid w:val="0009657E"/>
    <w:rsid w:val="000A1374"/>
    <w:rsid w:val="000A161E"/>
    <w:rsid w:val="000A1F6F"/>
    <w:rsid w:val="000A21AC"/>
    <w:rsid w:val="000A21FF"/>
    <w:rsid w:val="000A4D40"/>
    <w:rsid w:val="000A5E3F"/>
    <w:rsid w:val="000B01D7"/>
    <w:rsid w:val="000B04D5"/>
    <w:rsid w:val="000B07A1"/>
    <w:rsid w:val="000B1417"/>
    <w:rsid w:val="000B2B6C"/>
    <w:rsid w:val="000B4C16"/>
    <w:rsid w:val="000B6201"/>
    <w:rsid w:val="000B7628"/>
    <w:rsid w:val="000C0777"/>
    <w:rsid w:val="000C1A8D"/>
    <w:rsid w:val="000C1DBE"/>
    <w:rsid w:val="000C24F8"/>
    <w:rsid w:val="000C2ADF"/>
    <w:rsid w:val="000C3B7A"/>
    <w:rsid w:val="000D1271"/>
    <w:rsid w:val="000D1CA9"/>
    <w:rsid w:val="000D37CD"/>
    <w:rsid w:val="000D40C0"/>
    <w:rsid w:val="000D6939"/>
    <w:rsid w:val="000E04C8"/>
    <w:rsid w:val="000E083B"/>
    <w:rsid w:val="000E1B99"/>
    <w:rsid w:val="000E48FD"/>
    <w:rsid w:val="000E5343"/>
    <w:rsid w:val="000E551F"/>
    <w:rsid w:val="000E5BD3"/>
    <w:rsid w:val="000E5DCB"/>
    <w:rsid w:val="000E6FB1"/>
    <w:rsid w:val="000F1DFA"/>
    <w:rsid w:val="000F2731"/>
    <w:rsid w:val="000F73DD"/>
    <w:rsid w:val="000F7EB6"/>
    <w:rsid w:val="00101198"/>
    <w:rsid w:val="00103054"/>
    <w:rsid w:val="001038DB"/>
    <w:rsid w:val="00105892"/>
    <w:rsid w:val="00105BB4"/>
    <w:rsid w:val="00110D66"/>
    <w:rsid w:val="00110D9C"/>
    <w:rsid w:val="00111352"/>
    <w:rsid w:val="00112865"/>
    <w:rsid w:val="00114090"/>
    <w:rsid w:val="0011411E"/>
    <w:rsid w:val="00114D2E"/>
    <w:rsid w:val="00115BFD"/>
    <w:rsid w:val="00116825"/>
    <w:rsid w:val="001208D4"/>
    <w:rsid w:val="0012151B"/>
    <w:rsid w:val="001231B4"/>
    <w:rsid w:val="00124262"/>
    <w:rsid w:val="0012429F"/>
    <w:rsid w:val="00125220"/>
    <w:rsid w:val="00125376"/>
    <w:rsid w:val="00126C4B"/>
    <w:rsid w:val="00130CD1"/>
    <w:rsid w:val="00130E26"/>
    <w:rsid w:val="00131651"/>
    <w:rsid w:val="001358EB"/>
    <w:rsid w:val="00135FDA"/>
    <w:rsid w:val="00136168"/>
    <w:rsid w:val="001368D4"/>
    <w:rsid w:val="00137A24"/>
    <w:rsid w:val="0014089B"/>
    <w:rsid w:val="00140C9E"/>
    <w:rsid w:val="00142542"/>
    <w:rsid w:val="001445C8"/>
    <w:rsid w:val="00144DDE"/>
    <w:rsid w:val="00145DD9"/>
    <w:rsid w:val="00145FED"/>
    <w:rsid w:val="00146DFF"/>
    <w:rsid w:val="00147541"/>
    <w:rsid w:val="00150DDB"/>
    <w:rsid w:val="00153962"/>
    <w:rsid w:val="00153D2F"/>
    <w:rsid w:val="001556B0"/>
    <w:rsid w:val="0015583A"/>
    <w:rsid w:val="00156FD4"/>
    <w:rsid w:val="0016022D"/>
    <w:rsid w:val="00163A57"/>
    <w:rsid w:val="00166052"/>
    <w:rsid w:val="00166889"/>
    <w:rsid w:val="001735BD"/>
    <w:rsid w:val="001760CC"/>
    <w:rsid w:val="001761CC"/>
    <w:rsid w:val="0018077F"/>
    <w:rsid w:val="001810DA"/>
    <w:rsid w:val="0018192D"/>
    <w:rsid w:val="00181CEA"/>
    <w:rsid w:val="0018200C"/>
    <w:rsid w:val="00182DBF"/>
    <w:rsid w:val="00185C0E"/>
    <w:rsid w:val="00186698"/>
    <w:rsid w:val="00187694"/>
    <w:rsid w:val="00191522"/>
    <w:rsid w:val="00194640"/>
    <w:rsid w:val="00194BFF"/>
    <w:rsid w:val="00195A22"/>
    <w:rsid w:val="0019774E"/>
    <w:rsid w:val="00197F27"/>
    <w:rsid w:val="001A0807"/>
    <w:rsid w:val="001A0C0D"/>
    <w:rsid w:val="001A1811"/>
    <w:rsid w:val="001A1F49"/>
    <w:rsid w:val="001A2E90"/>
    <w:rsid w:val="001A6AC7"/>
    <w:rsid w:val="001A6C96"/>
    <w:rsid w:val="001B0F8E"/>
    <w:rsid w:val="001B30EC"/>
    <w:rsid w:val="001B4FCF"/>
    <w:rsid w:val="001B50B3"/>
    <w:rsid w:val="001B7733"/>
    <w:rsid w:val="001B7DE2"/>
    <w:rsid w:val="001C0497"/>
    <w:rsid w:val="001C0644"/>
    <w:rsid w:val="001C1D0A"/>
    <w:rsid w:val="001C23C6"/>
    <w:rsid w:val="001C25E2"/>
    <w:rsid w:val="001C6BEE"/>
    <w:rsid w:val="001D0513"/>
    <w:rsid w:val="001D083F"/>
    <w:rsid w:val="001D0B86"/>
    <w:rsid w:val="001D286E"/>
    <w:rsid w:val="001D31DE"/>
    <w:rsid w:val="001D37EB"/>
    <w:rsid w:val="001D4394"/>
    <w:rsid w:val="001D460D"/>
    <w:rsid w:val="001D53BE"/>
    <w:rsid w:val="001D54C3"/>
    <w:rsid w:val="001D5DA1"/>
    <w:rsid w:val="001D6443"/>
    <w:rsid w:val="001D7F52"/>
    <w:rsid w:val="001E3336"/>
    <w:rsid w:val="001E59DE"/>
    <w:rsid w:val="001E5FA4"/>
    <w:rsid w:val="001E62BA"/>
    <w:rsid w:val="001F3472"/>
    <w:rsid w:val="001F496A"/>
    <w:rsid w:val="001F4E30"/>
    <w:rsid w:val="001F61E0"/>
    <w:rsid w:val="001F63BA"/>
    <w:rsid w:val="001F69A4"/>
    <w:rsid w:val="001F71F0"/>
    <w:rsid w:val="00201123"/>
    <w:rsid w:val="00202566"/>
    <w:rsid w:val="002029BC"/>
    <w:rsid w:val="0020320F"/>
    <w:rsid w:val="002039F2"/>
    <w:rsid w:val="00204853"/>
    <w:rsid w:val="002049BF"/>
    <w:rsid w:val="00205B62"/>
    <w:rsid w:val="002066C0"/>
    <w:rsid w:val="002110C2"/>
    <w:rsid w:val="00211684"/>
    <w:rsid w:val="0021385B"/>
    <w:rsid w:val="00216E55"/>
    <w:rsid w:val="00217551"/>
    <w:rsid w:val="0022203B"/>
    <w:rsid w:val="00222415"/>
    <w:rsid w:val="00222CD3"/>
    <w:rsid w:val="00224956"/>
    <w:rsid w:val="0022585F"/>
    <w:rsid w:val="002304F0"/>
    <w:rsid w:val="00231D5F"/>
    <w:rsid w:val="002320A2"/>
    <w:rsid w:val="00232A06"/>
    <w:rsid w:val="00232C39"/>
    <w:rsid w:val="00233B3E"/>
    <w:rsid w:val="00233EC3"/>
    <w:rsid w:val="002366B1"/>
    <w:rsid w:val="00236858"/>
    <w:rsid w:val="0023789D"/>
    <w:rsid w:val="00240288"/>
    <w:rsid w:val="00240311"/>
    <w:rsid w:val="00240BB2"/>
    <w:rsid w:val="0024215A"/>
    <w:rsid w:val="0024378D"/>
    <w:rsid w:val="00243F7A"/>
    <w:rsid w:val="00246A1D"/>
    <w:rsid w:val="00247BCB"/>
    <w:rsid w:val="00247FF2"/>
    <w:rsid w:val="00250868"/>
    <w:rsid w:val="0025121F"/>
    <w:rsid w:val="00252524"/>
    <w:rsid w:val="00253028"/>
    <w:rsid w:val="002604D1"/>
    <w:rsid w:val="00260504"/>
    <w:rsid w:val="00260D1B"/>
    <w:rsid w:val="002611C6"/>
    <w:rsid w:val="00261908"/>
    <w:rsid w:val="00261A9D"/>
    <w:rsid w:val="002620E2"/>
    <w:rsid w:val="00263BF8"/>
    <w:rsid w:val="00263D2F"/>
    <w:rsid w:val="0026796F"/>
    <w:rsid w:val="00271521"/>
    <w:rsid w:val="00272FBD"/>
    <w:rsid w:val="002736F6"/>
    <w:rsid w:val="002737CB"/>
    <w:rsid w:val="00273FF8"/>
    <w:rsid w:val="00275E70"/>
    <w:rsid w:val="00275ED0"/>
    <w:rsid w:val="00277834"/>
    <w:rsid w:val="00280955"/>
    <w:rsid w:val="0028160B"/>
    <w:rsid w:val="00281AD3"/>
    <w:rsid w:val="00281F81"/>
    <w:rsid w:val="0028282F"/>
    <w:rsid w:val="00282C20"/>
    <w:rsid w:val="00284437"/>
    <w:rsid w:val="00287DA2"/>
    <w:rsid w:val="002918DC"/>
    <w:rsid w:val="0029199B"/>
    <w:rsid w:val="00296482"/>
    <w:rsid w:val="002967D0"/>
    <w:rsid w:val="002968CE"/>
    <w:rsid w:val="002977CD"/>
    <w:rsid w:val="002A01C7"/>
    <w:rsid w:val="002A336B"/>
    <w:rsid w:val="002A3756"/>
    <w:rsid w:val="002A4305"/>
    <w:rsid w:val="002A6D1E"/>
    <w:rsid w:val="002A6F4D"/>
    <w:rsid w:val="002B08E4"/>
    <w:rsid w:val="002B2326"/>
    <w:rsid w:val="002B2638"/>
    <w:rsid w:val="002B2B79"/>
    <w:rsid w:val="002B62BB"/>
    <w:rsid w:val="002B680A"/>
    <w:rsid w:val="002C1656"/>
    <w:rsid w:val="002C2A41"/>
    <w:rsid w:val="002C3418"/>
    <w:rsid w:val="002C4686"/>
    <w:rsid w:val="002C52BC"/>
    <w:rsid w:val="002C7D2B"/>
    <w:rsid w:val="002D0C33"/>
    <w:rsid w:val="002D10A2"/>
    <w:rsid w:val="002D1AE9"/>
    <w:rsid w:val="002D246E"/>
    <w:rsid w:val="002D36E7"/>
    <w:rsid w:val="002D4F1A"/>
    <w:rsid w:val="002D5850"/>
    <w:rsid w:val="002D5BB4"/>
    <w:rsid w:val="002D7897"/>
    <w:rsid w:val="002E23AB"/>
    <w:rsid w:val="002E40E2"/>
    <w:rsid w:val="002E5401"/>
    <w:rsid w:val="002E5620"/>
    <w:rsid w:val="002E5B6B"/>
    <w:rsid w:val="002F0447"/>
    <w:rsid w:val="002F0F4F"/>
    <w:rsid w:val="002F1F77"/>
    <w:rsid w:val="002F2338"/>
    <w:rsid w:val="002F6C6D"/>
    <w:rsid w:val="002F72B5"/>
    <w:rsid w:val="003035DF"/>
    <w:rsid w:val="003051C3"/>
    <w:rsid w:val="00307C45"/>
    <w:rsid w:val="00307D0B"/>
    <w:rsid w:val="003119D8"/>
    <w:rsid w:val="00313079"/>
    <w:rsid w:val="003136C5"/>
    <w:rsid w:val="00314388"/>
    <w:rsid w:val="00314A4D"/>
    <w:rsid w:val="00314F08"/>
    <w:rsid w:val="00314F9A"/>
    <w:rsid w:val="003151C9"/>
    <w:rsid w:val="003160CC"/>
    <w:rsid w:val="00316455"/>
    <w:rsid w:val="00317338"/>
    <w:rsid w:val="00323C58"/>
    <w:rsid w:val="003309CF"/>
    <w:rsid w:val="00330CCD"/>
    <w:rsid w:val="003317FD"/>
    <w:rsid w:val="00332CE5"/>
    <w:rsid w:val="0033388A"/>
    <w:rsid w:val="00334922"/>
    <w:rsid w:val="003358A0"/>
    <w:rsid w:val="00335DA4"/>
    <w:rsid w:val="00336E9E"/>
    <w:rsid w:val="003374D2"/>
    <w:rsid w:val="00337B91"/>
    <w:rsid w:val="00340D01"/>
    <w:rsid w:val="00341CF5"/>
    <w:rsid w:val="00341D8F"/>
    <w:rsid w:val="00343C32"/>
    <w:rsid w:val="00344B4D"/>
    <w:rsid w:val="00344F20"/>
    <w:rsid w:val="003475B8"/>
    <w:rsid w:val="00351F1F"/>
    <w:rsid w:val="003528F1"/>
    <w:rsid w:val="00352BDE"/>
    <w:rsid w:val="00352C88"/>
    <w:rsid w:val="00356D43"/>
    <w:rsid w:val="00360124"/>
    <w:rsid w:val="00360384"/>
    <w:rsid w:val="003635A9"/>
    <w:rsid w:val="00364089"/>
    <w:rsid w:val="0036462D"/>
    <w:rsid w:val="0036783F"/>
    <w:rsid w:val="003678DC"/>
    <w:rsid w:val="00367AAF"/>
    <w:rsid w:val="003704FD"/>
    <w:rsid w:val="003758C5"/>
    <w:rsid w:val="00376240"/>
    <w:rsid w:val="00380E31"/>
    <w:rsid w:val="00382098"/>
    <w:rsid w:val="00382A20"/>
    <w:rsid w:val="003845BA"/>
    <w:rsid w:val="00385AD4"/>
    <w:rsid w:val="00385E2F"/>
    <w:rsid w:val="00392C49"/>
    <w:rsid w:val="00393830"/>
    <w:rsid w:val="00393EAA"/>
    <w:rsid w:val="00396685"/>
    <w:rsid w:val="00397493"/>
    <w:rsid w:val="0039796C"/>
    <w:rsid w:val="00397E8F"/>
    <w:rsid w:val="003A3552"/>
    <w:rsid w:val="003A3D7D"/>
    <w:rsid w:val="003A48E0"/>
    <w:rsid w:val="003A4F46"/>
    <w:rsid w:val="003A4FC3"/>
    <w:rsid w:val="003A6F6E"/>
    <w:rsid w:val="003A7C12"/>
    <w:rsid w:val="003B0CD0"/>
    <w:rsid w:val="003B35BC"/>
    <w:rsid w:val="003B39FB"/>
    <w:rsid w:val="003B3F44"/>
    <w:rsid w:val="003B55A6"/>
    <w:rsid w:val="003B5CB2"/>
    <w:rsid w:val="003B5F86"/>
    <w:rsid w:val="003B630C"/>
    <w:rsid w:val="003B6EBD"/>
    <w:rsid w:val="003B7173"/>
    <w:rsid w:val="003B7259"/>
    <w:rsid w:val="003C0500"/>
    <w:rsid w:val="003C05A2"/>
    <w:rsid w:val="003C0938"/>
    <w:rsid w:val="003C208F"/>
    <w:rsid w:val="003C3082"/>
    <w:rsid w:val="003C50ED"/>
    <w:rsid w:val="003C5BCD"/>
    <w:rsid w:val="003C6B1C"/>
    <w:rsid w:val="003C6C49"/>
    <w:rsid w:val="003C70D3"/>
    <w:rsid w:val="003C7F68"/>
    <w:rsid w:val="003D2FD5"/>
    <w:rsid w:val="003D4189"/>
    <w:rsid w:val="003D4949"/>
    <w:rsid w:val="003D511F"/>
    <w:rsid w:val="003D6986"/>
    <w:rsid w:val="003D6A09"/>
    <w:rsid w:val="003D6F93"/>
    <w:rsid w:val="003D77E8"/>
    <w:rsid w:val="003E0734"/>
    <w:rsid w:val="003E07D5"/>
    <w:rsid w:val="003E1A0B"/>
    <w:rsid w:val="003E251A"/>
    <w:rsid w:val="003E2ACA"/>
    <w:rsid w:val="003E3469"/>
    <w:rsid w:val="003E4B72"/>
    <w:rsid w:val="003E54F0"/>
    <w:rsid w:val="003E5BB1"/>
    <w:rsid w:val="003E7A2E"/>
    <w:rsid w:val="003F0188"/>
    <w:rsid w:val="003F05DF"/>
    <w:rsid w:val="003F08D0"/>
    <w:rsid w:val="003F256E"/>
    <w:rsid w:val="003F3066"/>
    <w:rsid w:val="003F421A"/>
    <w:rsid w:val="003F4A6B"/>
    <w:rsid w:val="003F52D2"/>
    <w:rsid w:val="003F6253"/>
    <w:rsid w:val="003F662B"/>
    <w:rsid w:val="003F7030"/>
    <w:rsid w:val="00400510"/>
    <w:rsid w:val="00401055"/>
    <w:rsid w:val="00401417"/>
    <w:rsid w:val="00401A38"/>
    <w:rsid w:val="00401FA5"/>
    <w:rsid w:val="00402FF4"/>
    <w:rsid w:val="004034C5"/>
    <w:rsid w:val="00403EBB"/>
    <w:rsid w:val="00406DED"/>
    <w:rsid w:val="00411A1A"/>
    <w:rsid w:val="00412763"/>
    <w:rsid w:val="004129E1"/>
    <w:rsid w:val="00413467"/>
    <w:rsid w:val="004134FB"/>
    <w:rsid w:val="0041650A"/>
    <w:rsid w:val="004171C6"/>
    <w:rsid w:val="0042126C"/>
    <w:rsid w:val="004233CD"/>
    <w:rsid w:val="00423B4B"/>
    <w:rsid w:val="004255B0"/>
    <w:rsid w:val="00426155"/>
    <w:rsid w:val="00427D5D"/>
    <w:rsid w:val="00427E1F"/>
    <w:rsid w:val="00431257"/>
    <w:rsid w:val="00431473"/>
    <w:rsid w:val="00431690"/>
    <w:rsid w:val="004326BB"/>
    <w:rsid w:val="00432FAF"/>
    <w:rsid w:val="00433A60"/>
    <w:rsid w:val="00433DE0"/>
    <w:rsid w:val="00435F8B"/>
    <w:rsid w:val="00436093"/>
    <w:rsid w:val="00436FF0"/>
    <w:rsid w:val="004370FD"/>
    <w:rsid w:val="004410C5"/>
    <w:rsid w:val="0044161E"/>
    <w:rsid w:val="0044172C"/>
    <w:rsid w:val="00441BF1"/>
    <w:rsid w:val="0044253F"/>
    <w:rsid w:val="00444629"/>
    <w:rsid w:val="00447A1C"/>
    <w:rsid w:val="00450B94"/>
    <w:rsid w:val="00451D0C"/>
    <w:rsid w:val="004529A2"/>
    <w:rsid w:val="004548D7"/>
    <w:rsid w:val="0045501B"/>
    <w:rsid w:val="00461862"/>
    <w:rsid w:val="00464830"/>
    <w:rsid w:val="00465D4A"/>
    <w:rsid w:val="0046623C"/>
    <w:rsid w:val="00467064"/>
    <w:rsid w:val="00470DAF"/>
    <w:rsid w:val="00471F7C"/>
    <w:rsid w:val="0047323C"/>
    <w:rsid w:val="004743DC"/>
    <w:rsid w:val="004757B6"/>
    <w:rsid w:val="004765C2"/>
    <w:rsid w:val="004771A1"/>
    <w:rsid w:val="004820A1"/>
    <w:rsid w:val="00482177"/>
    <w:rsid w:val="00482A3B"/>
    <w:rsid w:val="00483216"/>
    <w:rsid w:val="004846AF"/>
    <w:rsid w:val="004854E2"/>
    <w:rsid w:val="00486E28"/>
    <w:rsid w:val="00486F0C"/>
    <w:rsid w:val="0048723F"/>
    <w:rsid w:val="00487A7D"/>
    <w:rsid w:val="00491B52"/>
    <w:rsid w:val="00493B6E"/>
    <w:rsid w:val="004955F5"/>
    <w:rsid w:val="0049580E"/>
    <w:rsid w:val="00496F79"/>
    <w:rsid w:val="004972C6"/>
    <w:rsid w:val="00497DAB"/>
    <w:rsid w:val="004A10E7"/>
    <w:rsid w:val="004A1109"/>
    <w:rsid w:val="004A13EF"/>
    <w:rsid w:val="004A169D"/>
    <w:rsid w:val="004A34EB"/>
    <w:rsid w:val="004A453C"/>
    <w:rsid w:val="004A45F7"/>
    <w:rsid w:val="004A4BCB"/>
    <w:rsid w:val="004A4D66"/>
    <w:rsid w:val="004A5027"/>
    <w:rsid w:val="004A7EE2"/>
    <w:rsid w:val="004A7EF8"/>
    <w:rsid w:val="004B18FF"/>
    <w:rsid w:val="004B2F18"/>
    <w:rsid w:val="004B34C2"/>
    <w:rsid w:val="004B3B8A"/>
    <w:rsid w:val="004C085D"/>
    <w:rsid w:val="004C0B7C"/>
    <w:rsid w:val="004C639F"/>
    <w:rsid w:val="004C7F72"/>
    <w:rsid w:val="004D0B57"/>
    <w:rsid w:val="004D1370"/>
    <w:rsid w:val="004D1DE7"/>
    <w:rsid w:val="004D2795"/>
    <w:rsid w:val="004D369C"/>
    <w:rsid w:val="004D385A"/>
    <w:rsid w:val="004D3B80"/>
    <w:rsid w:val="004D498E"/>
    <w:rsid w:val="004D6010"/>
    <w:rsid w:val="004D605B"/>
    <w:rsid w:val="004D6656"/>
    <w:rsid w:val="004D6A51"/>
    <w:rsid w:val="004D702E"/>
    <w:rsid w:val="004D7438"/>
    <w:rsid w:val="004D75BA"/>
    <w:rsid w:val="004E0F23"/>
    <w:rsid w:val="004E1050"/>
    <w:rsid w:val="004E11C9"/>
    <w:rsid w:val="004E1943"/>
    <w:rsid w:val="004E1A78"/>
    <w:rsid w:val="004E38E9"/>
    <w:rsid w:val="004E486E"/>
    <w:rsid w:val="004E559C"/>
    <w:rsid w:val="004E5FE4"/>
    <w:rsid w:val="004E6D92"/>
    <w:rsid w:val="004E759A"/>
    <w:rsid w:val="004F00FD"/>
    <w:rsid w:val="004F159A"/>
    <w:rsid w:val="004F212E"/>
    <w:rsid w:val="004F2385"/>
    <w:rsid w:val="004F2867"/>
    <w:rsid w:val="004F3053"/>
    <w:rsid w:val="004F321D"/>
    <w:rsid w:val="004F4765"/>
    <w:rsid w:val="004F489C"/>
    <w:rsid w:val="004F48C1"/>
    <w:rsid w:val="004F51F3"/>
    <w:rsid w:val="004F57DD"/>
    <w:rsid w:val="004F69A9"/>
    <w:rsid w:val="004F730E"/>
    <w:rsid w:val="00500DEA"/>
    <w:rsid w:val="00504340"/>
    <w:rsid w:val="00504ACB"/>
    <w:rsid w:val="00505028"/>
    <w:rsid w:val="005054D6"/>
    <w:rsid w:val="00505C53"/>
    <w:rsid w:val="00505F3B"/>
    <w:rsid w:val="005061E4"/>
    <w:rsid w:val="005115A3"/>
    <w:rsid w:val="00511BD0"/>
    <w:rsid w:val="00511FA6"/>
    <w:rsid w:val="005154F3"/>
    <w:rsid w:val="00516E7E"/>
    <w:rsid w:val="00517CD4"/>
    <w:rsid w:val="0052099A"/>
    <w:rsid w:val="0052166D"/>
    <w:rsid w:val="00525BC3"/>
    <w:rsid w:val="00527367"/>
    <w:rsid w:val="005301B0"/>
    <w:rsid w:val="005318F9"/>
    <w:rsid w:val="005324A9"/>
    <w:rsid w:val="0053269E"/>
    <w:rsid w:val="00532938"/>
    <w:rsid w:val="0053531D"/>
    <w:rsid w:val="00537021"/>
    <w:rsid w:val="00537E29"/>
    <w:rsid w:val="00540AB4"/>
    <w:rsid w:val="00542507"/>
    <w:rsid w:val="00544378"/>
    <w:rsid w:val="005475AA"/>
    <w:rsid w:val="00550617"/>
    <w:rsid w:val="00551A51"/>
    <w:rsid w:val="00551D73"/>
    <w:rsid w:val="00554739"/>
    <w:rsid w:val="00554F72"/>
    <w:rsid w:val="00556469"/>
    <w:rsid w:val="00556B1B"/>
    <w:rsid w:val="0056018E"/>
    <w:rsid w:val="00560ECA"/>
    <w:rsid w:val="005623AE"/>
    <w:rsid w:val="00563756"/>
    <w:rsid w:val="0056383E"/>
    <w:rsid w:val="005639DF"/>
    <w:rsid w:val="00563C64"/>
    <w:rsid w:val="0056626C"/>
    <w:rsid w:val="005677C3"/>
    <w:rsid w:val="00571807"/>
    <w:rsid w:val="00571BB0"/>
    <w:rsid w:val="00573532"/>
    <w:rsid w:val="0057376C"/>
    <w:rsid w:val="00574392"/>
    <w:rsid w:val="005746DF"/>
    <w:rsid w:val="00577496"/>
    <w:rsid w:val="00577E02"/>
    <w:rsid w:val="00580B46"/>
    <w:rsid w:val="0058111D"/>
    <w:rsid w:val="00582813"/>
    <w:rsid w:val="0058391A"/>
    <w:rsid w:val="005847F0"/>
    <w:rsid w:val="005876BC"/>
    <w:rsid w:val="00590ECB"/>
    <w:rsid w:val="0059234C"/>
    <w:rsid w:val="00592D3B"/>
    <w:rsid w:val="00593266"/>
    <w:rsid w:val="005939F7"/>
    <w:rsid w:val="00594421"/>
    <w:rsid w:val="005944B7"/>
    <w:rsid w:val="00594E08"/>
    <w:rsid w:val="00597984"/>
    <w:rsid w:val="005A01FA"/>
    <w:rsid w:val="005A0BCA"/>
    <w:rsid w:val="005A1BE1"/>
    <w:rsid w:val="005A27D5"/>
    <w:rsid w:val="005A4803"/>
    <w:rsid w:val="005A4CCD"/>
    <w:rsid w:val="005A4F14"/>
    <w:rsid w:val="005A597D"/>
    <w:rsid w:val="005A5AF6"/>
    <w:rsid w:val="005A6F57"/>
    <w:rsid w:val="005A7F01"/>
    <w:rsid w:val="005B2F97"/>
    <w:rsid w:val="005B3E1B"/>
    <w:rsid w:val="005B5A44"/>
    <w:rsid w:val="005B5DF3"/>
    <w:rsid w:val="005B5F7A"/>
    <w:rsid w:val="005B7059"/>
    <w:rsid w:val="005B77F8"/>
    <w:rsid w:val="005C02A0"/>
    <w:rsid w:val="005C11B2"/>
    <w:rsid w:val="005C1A8F"/>
    <w:rsid w:val="005C2FCF"/>
    <w:rsid w:val="005C3698"/>
    <w:rsid w:val="005C5642"/>
    <w:rsid w:val="005C63CF"/>
    <w:rsid w:val="005C646C"/>
    <w:rsid w:val="005C7DF6"/>
    <w:rsid w:val="005D311A"/>
    <w:rsid w:val="005D3B9E"/>
    <w:rsid w:val="005D4DE0"/>
    <w:rsid w:val="005D542D"/>
    <w:rsid w:val="005D5A09"/>
    <w:rsid w:val="005D66C7"/>
    <w:rsid w:val="005D7196"/>
    <w:rsid w:val="005D7270"/>
    <w:rsid w:val="005D72B1"/>
    <w:rsid w:val="005D795D"/>
    <w:rsid w:val="005D7D99"/>
    <w:rsid w:val="005E023F"/>
    <w:rsid w:val="005E0C87"/>
    <w:rsid w:val="005E11E4"/>
    <w:rsid w:val="005E1DE7"/>
    <w:rsid w:val="005E2375"/>
    <w:rsid w:val="005E2F4D"/>
    <w:rsid w:val="005E30B0"/>
    <w:rsid w:val="005E3D31"/>
    <w:rsid w:val="005E4569"/>
    <w:rsid w:val="005E486F"/>
    <w:rsid w:val="005E4F75"/>
    <w:rsid w:val="005E622A"/>
    <w:rsid w:val="005E69DB"/>
    <w:rsid w:val="005F273F"/>
    <w:rsid w:val="005F38D5"/>
    <w:rsid w:val="005F3CC8"/>
    <w:rsid w:val="005F520D"/>
    <w:rsid w:val="005F5688"/>
    <w:rsid w:val="005F6752"/>
    <w:rsid w:val="005F6E57"/>
    <w:rsid w:val="005F73FD"/>
    <w:rsid w:val="00600474"/>
    <w:rsid w:val="00603B4B"/>
    <w:rsid w:val="00604672"/>
    <w:rsid w:val="006050CD"/>
    <w:rsid w:val="00607EE0"/>
    <w:rsid w:val="006112AC"/>
    <w:rsid w:val="006121DA"/>
    <w:rsid w:val="006146FD"/>
    <w:rsid w:val="00616379"/>
    <w:rsid w:val="00620113"/>
    <w:rsid w:val="0062059E"/>
    <w:rsid w:val="006210F6"/>
    <w:rsid w:val="006219A2"/>
    <w:rsid w:val="006231C8"/>
    <w:rsid w:val="00624894"/>
    <w:rsid w:val="00627774"/>
    <w:rsid w:val="006302D1"/>
    <w:rsid w:val="0063088A"/>
    <w:rsid w:val="00630C8A"/>
    <w:rsid w:val="00632167"/>
    <w:rsid w:val="00632498"/>
    <w:rsid w:val="00633148"/>
    <w:rsid w:val="00634734"/>
    <w:rsid w:val="00635404"/>
    <w:rsid w:val="0063784B"/>
    <w:rsid w:val="00637D8F"/>
    <w:rsid w:val="00643441"/>
    <w:rsid w:val="00643A69"/>
    <w:rsid w:val="00643FF6"/>
    <w:rsid w:val="0064663D"/>
    <w:rsid w:val="00647473"/>
    <w:rsid w:val="006514D9"/>
    <w:rsid w:val="006515E9"/>
    <w:rsid w:val="00651AC6"/>
    <w:rsid w:val="0065248F"/>
    <w:rsid w:val="0065276B"/>
    <w:rsid w:val="006565D4"/>
    <w:rsid w:val="0065681E"/>
    <w:rsid w:val="0066015F"/>
    <w:rsid w:val="0066073B"/>
    <w:rsid w:val="00661857"/>
    <w:rsid w:val="006626F6"/>
    <w:rsid w:val="00663208"/>
    <w:rsid w:val="00664DB3"/>
    <w:rsid w:val="00665D44"/>
    <w:rsid w:val="006661D1"/>
    <w:rsid w:val="006661E2"/>
    <w:rsid w:val="006709BF"/>
    <w:rsid w:val="00670A01"/>
    <w:rsid w:val="00670E60"/>
    <w:rsid w:val="0067561C"/>
    <w:rsid w:val="0067724A"/>
    <w:rsid w:val="006806B6"/>
    <w:rsid w:val="00681DD8"/>
    <w:rsid w:val="00682AC1"/>
    <w:rsid w:val="006831BB"/>
    <w:rsid w:val="00684EBA"/>
    <w:rsid w:val="00685B45"/>
    <w:rsid w:val="006879C4"/>
    <w:rsid w:val="00687F82"/>
    <w:rsid w:val="0069036E"/>
    <w:rsid w:val="00690E07"/>
    <w:rsid w:val="00691757"/>
    <w:rsid w:val="00692FA3"/>
    <w:rsid w:val="00693527"/>
    <w:rsid w:val="00694144"/>
    <w:rsid w:val="00694F8E"/>
    <w:rsid w:val="0069675D"/>
    <w:rsid w:val="0069718B"/>
    <w:rsid w:val="00697F98"/>
    <w:rsid w:val="006A07CC"/>
    <w:rsid w:val="006A1E00"/>
    <w:rsid w:val="006A1E42"/>
    <w:rsid w:val="006A36DD"/>
    <w:rsid w:val="006A3BA9"/>
    <w:rsid w:val="006A45DD"/>
    <w:rsid w:val="006A7732"/>
    <w:rsid w:val="006B2ED2"/>
    <w:rsid w:val="006B3DCE"/>
    <w:rsid w:val="006B3F51"/>
    <w:rsid w:val="006B5848"/>
    <w:rsid w:val="006B644D"/>
    <w:rsid w:val="006B6B33"/>
    <w:rsid w:val="006B7E99"/>
    <w:rsid w:val="006C085C"/>
    <w:rsid w:val="006C21DD"/>
    <w:rsid w:val="006C3143"/>
    <w:rsid w:val="006C3582"/>
    <w:rsid w:val="006C6154"/>
    <w:rsid w:val="006C6B97"/>
    <w:rsid w:val="006C7231"/>
    <w:rsid w:val="006D112B"/>
    <w:rsid w:val="006D1510"/>
    <w:rsid w:val="006D175E"/>
    <w:rsid w:val="006D1E41"/>
    <w:rsid w:val="006D276E"/>
    <w:rsid w:val="006D33F2"/>
    <w:rsid w:val="006D67AA"/>
    <w:rsid w:val="006D7270"/>
    <w:rsid w:val="006D7F20"/>
    <w:rsid w:val="006E29BC"/>
    <w:rsid w:val="006E4E18"/>
    <w:rsid w:val="006E54B8"/>
    <w:rsid w:val="006E6C73"/>
    <w:rsid w:val="006E7885"/>
    <w:rsid w:val="006F0543"/>
    <w:rsid w:val="006F136D"/>
    <w:rsid w:val="006F19BC"/>
    <w:rsid w:val="006F38F2"/>
    <w:rsid w:val="006F3E1B"/>
    <w:rsid w:val="006F5DBA"/>
    <w:rsid w:val="006F5FDF"/>
    <w:rsid w:val="006F617A"/>
    <w:rsid w:val="006F6F03"/>
    <w:rsid w:val="006F71DE"/>
    <w:rsid w:val="0070086F"/>
    <w:rsid w:val="00701138"/>
    <w:rsid w:val="00702E81"/>
    <w:rsid w:val="00702EEE"/>
    <w:rsid w:val="00704120"/>
    <w:rsid w:val="00704A16"/>
    <w:rsid w:val="00705FEC"/>
    <w:rsid w:val="00707546"/>
    <w:rsid w:val="00707C2B"/>
    <w:rsid w:val="00707C50"/>
    <w:rsid w:val="00710020"/>
    <w:rsid w:val="0071096B"/>
    <w:rsid w:val="0071143D"/>
    <w:rsid w:val="0071301B"/>
    <w:rsid w:val="00713F60"/>
    <w:rsid w:val="00714113"/>
    <w:rsid w:val="00720035"/>
    <w:rsid w:val="00721260"/>
    <w:rsid w:val="00722CF4"/>
    <w:rsid w:val="0072366E"/>
    <w:rsid w:val="00727551"/>
    <w:rsid w:val="00727CF6"/>
    <w:rsid w:val="00730239"/>
    <w:rsid w:val="00730DCC"/>
    <w:rsid w:val="00731A8A"/>
    <w:rsid w:val="007332A8"/>
    <w:rsid w:val="00734BE8"/>
    <w:rsid w:val="007370A4"/>
    <w:rsid w:val="007379C6"/>
    <w:rsid w:val="0074028D"/>
    <w:rsid w:val="0074128B"/>
    <w:rsid w:val="00744333"/>
    <w:rsid w:val="007463B7"/>
    <w:rsid w:val="0074662E"/>
    <w:rsid w:val="00746EEE"/>
    <w:rsid w:val="00752825"/>
    <w:rsid w:val="0075324E"/>
    <w:rsid w:val="00754110"/>
    <w:rsid w:val="00754379"/>
    <w:rsid w:val="007548B5"/>
    <w:rsid w:val="0075603D"/>
    <w:rsid w:val="007568DE"/>
    <w:rsid w:val="0076077F"/>
    <w:rsid w:val="0076142A"/>
    <w:rsid w:val="00762000"/>
    <w:rsid w:val="00762980"/>
    <w:rsid w:val="00765362"/>
    <w:rsid w:val="00767D76"/>
    <w:rsid w:val="00774E69"/>
    <w:rsid w:val="00775848"/>
    <w:rsid w:val="00776463"/>
    <w:rsid w:val="00776F28"/>
    <w:rsid w:val="00777ED4"/>
    <w:rsid w:val="00780426"/>
    <w:rsid w:val="00780F86"/>
    <w:rsid w:val="00781AFC"/>
    <w:rsid w:val="00783DA5"/>
    <w:rsid w:val="00783E62"/>
    <w:rsid w:val="0078414C"/>
    <w:rsid w:val="0078486D"/>
    <w:rsid w:val="007848A5"/>
    <w:rsid w:val="00784EA7"/>
    <w:rsid w:val="00785DD2"/>
    <w:rsid w:val="0078685F"/>
    <w:rsid w:val="00787712"/>
    <w:rsid w:val="00787AF6"/>
    <w:rsid w:val="0079021E"/>
    <w:rsid w:val="00793156"/>
    <w:rsid w:val="00793DF0"/>
    <w:rsid w:val="007948FD"/>
    <w:rsid w:val="007955B3"/>
    <w:rsid w:val="0079586D"/>
    <w:rsid w:val="00797F27"/>
    <w:rsid w:val="007A07DE"/>
    <w:rsid w:val="007A0E0D"/>
    <w:rsid w:val="007A1322"/>
    <w:rsid w:val="007A310D"/>
    <w:rsid w:val="007A3650"/>
    <w:rsid w:val="007A5D44"/>
    <w:rsid w:val="007A5E53"/>
    <w:rsid w:val="007A7550"/>
    <w:rsid w:val="007B07DC"/>
    <w:rsid w:val="007B2C77"/>
    <w:rsid w:val="007B34DA"/>
    <w:rsid w:val="007B5CAD"/>
    <w:rsid w:val="007C0190"/>
    <w:rsid w:val="007C206B"/>
    <w:rsid w:val="007C33DB"/>
    <w:rsid w:val="007C3897"/>
    <w:rsid w:val="007C6D48"/>
    <w:rsid w:val="007C6DD1"/>
    <w:rsid w:val="007D101A"/>
    <w:rsid w:val="007D2C9B"/>
    <w:rsid w:val="007D2FD2"/>
    <w:rsid w:val="007D4BB5"/>
    <w:rsid w:val="007E1AA4"/>
    <w:rsid w:val="007E1ED7"/>
    <w:rsid w:val="007E3684"/>
    <w:rsid w:val="007E4222"/>
    <w:rsid w:val="007E4860"/>
    <w:rsid w:val="007E4B31"/>
    <w:rsid w:val="007E5D1E"/>
    <w:rsid w:val="007E5F69"/>
    <w:rsid w:val="007E6695"/>
    <w:rsid w:val="007E6C06"/>
    <w:rsid w:val="007F15DA"/>
    <w:rsid w:val="007F19AA"/>
    <w:rsid w:val="007F264C"/>
    <w:rsid w:val="007F39B6"/>
    <w:rsid w:val="007F5835"/>
    <w:rsid w:val="007F7B1B"/>
    <w:rsid w:val="008007CC"/>
    <w:rsid w:val="008010CF"/>
    <w:rsid w:val="0080121C"/>
    <w:rsid w:val="00801C80"/>
    <w:rsid w:val="00801CEC"/>
    <w:rsid w:val="00803845"/>
    <w:rsid w:val="00805BE0"/>
    <w:rsid w:val="00806A31"/>
    <w:rsid w:val="0081000A"/>
    <w:rsid w:val="00810046"/>
    <w:rsid w:val="0081237A"/>
    <w:rsid w:val="00812A83"/>
    <w:rsid w:val="008138D6"/>
    <w:rsid w:val="00814ED4"/>
    <w:rsid w:val="00815069"/>
    <w:rsid w:val="008150E6"/>
    <w:rsid w:val="008153B2"/>
    <w:rsid w:val="00816EF1"/>
    <w:rsid w:val="0082096F"/>
    <w:rsid w:val="00822230"/>
    <w:rsid w:val="008255CF"/>
    <w:rsid w:val="00825EB4"/>
    <w:rsid w:val="00827032"/>
    <w:rsid w:val="008311C8"/>
    <w:rsid w:val="00832D09"/>
    <w:rsid w:val="00833647"/>
    <w:rsid w:val="00834250"/>
    <w:rsid w:val="00837545"/>
    <w:rsid w:val="00837A8C"/>
    <w:rsid w:val="008400C1"/>
    <w:rsid w:val="00840737"/>
    <w:rsid w:val="00842318"/>
    <w:rsid w:val="0084571D"/>
    <w:rsid w:val="0084662B"/>
    <w:rsid w:val="008468EA"/>
    <w:rsid w:val="00847132"/>
    <w:rsid w:val="0084784B"/>
    <w:rsid w:val="00847FF4"/>
    <w:rsid w:val="008511BA"/>
    <w:rsid w:val="00851517"/>
    <w:rsid w:val="008525AB"/>
    <w:rsid w:val="00855575"/>
    <w:rsid w:val="00855ADD"/>
    <w:rsid w:val="00855AE6"/>
    <w:rsid w:val="00855E47"/>
    <w:rsid w:val="00856860"/>
    <w:rsid w:val="008579FC"/>
    <w:rsid w:val="00862EBF"/>
    <w:rsid w:val="008631D6"/>
    <w:rsid w:val="00863888"/>
    <w:rsid w:val="0086467C"/>
    <w:rsid w:val="0086494F"/>
    <w:rsid w:val="008677C9"/>
    <w:rsid w:val="00867D5D"/>
    <w:rsid w:val="00870538"/>
    <w:rsid w:val="00872540"/>
    <w:rsid w:val="00872965"/>
    <w:rsid w:val="00872CA6"/>
    <w:rsid w:val="008735E5"/>
    <w:rsid w:val="008736D9"/>
    <w:rsid w:val="00876EAF"/>
    <w:rsid w:val="008776C0"/>
    <w:rsid w:val="00877FD9"/>
    <w:rsid w:val="00880152"/>
    <w:rsid w:val="0088059A"/>
    <w:rsid w:val="00880B9C"/>
    <w:rsid w:val="008821CA"/>
    <w:rsid w:val="00882DC1"/>
    <w:rsid w:val="00883BFA"/>
    <w:rsid w:val="00885A4B"/>
    <w:rsid w:val="00885A8E"/>
    <w:rsid w:val="00885D92"/>
    <w:rsid w:val="008861D3"/>
    <w:rsid w:val="008863A6"/>
    <w:rsid w:val="008864B4"/>
    <w:rsid w:val="008873BD"/>
    <w:rsid w:val="008919FF"/>
    <w:rsid w:val="008927C4"/>
    <w:rsid w:val="00893279"/>
    <w:rsid w:val="00893F9F"/>
    <w:rsid w:val="0089776F"/>
    <w:rsid w:val="008A06BD"/>
    <w:rsid w:val="008A0AEF"/>
    <w:rsid w:val="008A2730"/>
    <w:rsid w:val="008A3099"/>
    <w:rsid w:val="008A42F6"/>
    <w:rsid w:val="008A446E"/>
    <w:rsid w:val="008A4FF4"/>
    <w:rsid w:val="008A595A"/>
    <w:rsid w:val="008A5E6D"/>
    <w:rsid w:val="008A6082"/>
    <w:rsid w:val="008A6D10"/>
    <w:rsid w:val="008A7D33"/>
    <w:rsid w:val="008A7EF8"/>
    <w:rsid w:val="008B0C87"/>
    <w:rsid w:val="008B0EBB"/>
    <w:rsid w:val="008B3617"/>
    <w:rsid w:val="008B3DC8"/>
    <w:rsid w:val="008B400D"/>
    <w:rsid w:val="008B5E79"/>
    <w:rsid w:val="008B63A4"/>
    <w:rsid w:val="008B63D2"/>
    <w:rsid w:val="008C16FC"/>
    <w:rsid w:val="008C36AC"/>
    <w:rsid w:val="008C3784"/>
    <w:rsid w:val="008C3E11"/>
    <w:rsid w:val="008C68CA"/>
    <w:rsid w:val="008C7497"/>
    <w:rsid w:val="008D097F"/>
    <w:rsid w:val="008D1C4A"/>
    <w:rsid w:val="008D2B42"/>
    <w:rsid w:val="008D35E1"/>
    <w:rsid w:val="008D3FFC"/>
    <w:rsid w:val="008D5C90"/>
    <w:rsid w:val="008D5F34"/>
    <w:rsid w:val="008D60BB"/>
    <w:rsid w:val="008D6561"/>
    <w:rsid w:val="008D69C8"/>
    <w:rsid w:val="008D7A21"/>
    <w:rsid w:val="008D7B51"/>
    <w:rsid w:val="008E043C"/>
    <w:rsid w:val="008E0E0B"/>
    <w:rsid w:val="008E1BDA"/>
    <w:rsid w:val="008E1C79"/>
    <w:rsid w:val="008E3C97"/>
    <w:rsid w:val="008E41A5"/>
    <w:rsid w:val="008E41B1"/>
    <w:rsid w:val="008E4A46"/>
    <w:rsid w:val="008E4BF7"/>
    <w:rsid w:val="008E54C6"/>
    <w:rsid w:val="008E6089"/>
    <w:rsid w:val="008F15AF"/>
    <w:rsid w:val="008F1BF6"/>
    <w:rsid w:val="008F2244"/>
    <w:rsid w:val="008F2BE9"/>
    <w:rsid w:val="008F381E"/>
    <w:rsid w:val="008F48F3"/>
    <w:rsid w:val="008F5709"/>
    <w:rsid w:val="008F5B4A"/>
    <w:rsid w:val="008F5E21"/>
    <w:rsid w:val="008F72E3"/>
    <w:rsid w:val="009009EC"/>
    <w:rsid w:val="00902AC9"/>
    <w:rsid w:val="009032F2"/>
    <w:rsid w:val="00903BEB"/>
    <w:rsid w:val="009048DD"/>
    <w:rsid w:val="00905F9D"/>
    <w:rsid w:val="0091152A"/>
    <w:rsid w:val="0091171D"/>
    <w:rsid w:val="00912E62"/>
    <w:rsid w:val="00914A7E"/>
    <w:rsid w:val="00915032"/>
    <w:rsid w:val="0091574B"/>
    <w:rsid w:val="009165C5"/>
    <w:rsid w:val="009176AF"/>
    <w:rsid w:val="00920114"/>
    <w:rsid w:val="00920600"/>
    <w:rsid w:val="00920D6C"/>
    <w:rsid w:val="00921E0B"/>
    <w:rsid w:val="009224B0"/>
    <w:rsid w:val="00922701"/>
    <w:rsid w:val="009227DC"/>
    <w:rsid w:val="009233E8"/>
    <w:rsid w:val="00924365"/>
    <w:rsid w:val="00924D26"/>
    <w:rsid w:val="00930B23"/>
    <w:rsid w:val="00933815"/>
    <w:rsid w:val="009338E5"/>
    <w:rsid w:val="009348B6"/>
    <w:rsid w:val="0093568A"/>
    <w:rsid w:val="00935FA8"/>
    <w:rsid w:val="00940ECB"/>
    <w:rsid w:val="00943A26"/>
    <w:rsid w:val="00944575"/>
    <w:rsid w:val="00944FD1"/>
    <w:rsid w:val="00945986"/>
    <w:rsid w:val="00946037"/>
    <w:rsid w:val="009476F4"/>
    <w:rsid w:val="0095104F"/>
    <w:rsid w:val="0095162D"/>
    <w:rsid w:val="00952723"/>
    <w:rsid w:val="009529BF"/>
    <w:rsid w:val="00953693"/>
    <w:rsid w:val="0095418D"/>
    <w:rsid w:val="009554E4"/>
    <w:rsid w:val="00955A42"/>
    <w:rsid w:val="009563F1"/>
    <w:rsid w:val="00956A22"/>
    <w:rsid w:val="00957925"/>
    <w:rsid w:val="009605D3"/>
    <w:rsid w:val="00960A04"/>
    <w:rsid w:val="00962288"/>
    <w:rsid w:val="00962A71"/>
    <w:rsid w:val="0096494D"/>
    <w:rsid w:val="00964DC7"/>
    <w:rsid w:val="0096571F"/>
    <w:rsid w:val="009657BB"/>
    <w:rsid w:val="00967466"/>
    <w:rsid w:val="00967B11"/>
    <w:rsid w:val="009706CE"/>
    <w:rsid w:val="00971AFD"/>
    <w:rsid w:val="009734CF"/>
    <w:rsid w:val="00973875"/>
    <w:rsid w:val="009739D9"/>
    <w:rsid w:val="00980734"/>
    <w:rsid w:val="00981A5D"/>
    <w:rsid w:val="0098323C"/>
    <w:rsid w:val="009848C2"/>
    <w:rsid w:val="00985176"/>
    <w:rsid w:val="00985E4F"/>
    <w:rsid w:val="00987160"/>
    <w:rsid w:val="009878F9"/>
    <w:rsid w:val="00987AAB"/>
    <w:rsid w:val="0099075D"/>
    <w:rsid w:val="00992D4B"/>
    <w:rsid w:val="009948D1"/>
    <w:rsid w:val="00996412"/>
    <w:rsid w:val="00997D63"/>
    <w:rsid w:val="009A083F"/>
    <w:rsid w:val="009A11A3"/>
    <w:rsid w:val="009A270E"/>
    <w:rsid w:val="009A2B45"/>
    <w:rsid w:val="009A2EB6"/>
    <w:rsid w:val="009A4F3E"/>
    <w:rsid w:val="009A56C0"/>
    <w:rsid w:val="009A5B6F"/>
    <w:rsid w:val="009A6348"/>
    <w:rsid w:val="009A6739"/>
    <w:rsid w:val="009A6C16"/>
    <w:rsid w:val="009B1E2B"/>
    <w:rsid w:val="009B3660"/>
    <w:rsid w:val="009B3844"/>
    <w:rsid w:val="009B4EED"/>
    <w:rsid w:val="009B5EBA"/>
    <w:rsid w:val="009B7954"/>
    <w:rsid w:val="009B7B6A"/>
    <w:rsid w:val="009C1FA7"/>
    <w:rsid w:val="009C2688"/>
    <w:rsid w:val="009C404D"/>
    <w:rsid w:val="009C5FB6"/>
    <w:rsid w:val="009C6D11"/>
    <w:rsid w:val="009C70A4"/>
    <w:rsid w:val="009C714F"/>
    <w:rsid w:val="009C7D54"/>
    <w:rsid w:val="009C7F39"/>
    <w:rsid w:val="009D07D3"/>
    <w:rsid w:val="009D0838"/>
    <w:rsid w:val="009D2546"/>
    <w:rsid w:val="009D375D"/>
    <w:rsid w:val="009D3778"/>
    <w:rsid w:val="009D3AFE"/>
    <w:rsid w:val="009D4150"/>
    <w:rsid w:val="009D4C2D"/>
    <w:rsid w:val="009D5DFC"/>
    <w:rsid w:val="009D5F69"/>
    <w:rsid w:val="009E0CDB"/>
    <w:rsid w:val="009E3100"/>
    <w:rsid w:val="009E3232"/>
    <w:rsid w:val="009E3F0D"/>
    <w:rsid w:val="009E403D"/>
    <w:rsid w:val="009E42EE"/>
    <w:rsid w:val="009E492F"/>
    <w:rsid w:val="009E4B0D"/>
    <w:rsid w:val="009E5B0D"/>
    <w:rsid w:val="009E6001"/>
    <w:rsid w:val="009E61A5"/>
    <w:rsid w:val="009E6CAE"/>
    <w:rsid w:val="009E6D69"/>
    <w:rsid w:val="009E6FBB"/>
    <w:rsid w:val="009E7B9E"/>
    <w:rsid w:val="009E7B9F"/>
    <w:rsid w:val="009F0811"/>
    <w:rsid w:val="009F14FC"/>
    <w:rsid w:val="009F1EF5"/>
    <w:rsid w:val="009F2C15"/>
    <w:rsid w:val="009F40D2"/>
    <w:rsid w:val="009F7AC7"/>
    <w:rsid w:val="00A00AF4"/>
    <w:rsid w:val="00A01DB5"/>
    <w:rsid w:val="00A02F48"/>
    <w:rsid w:val="00A02FD2"/>
    <w:rsid w:val="00A03D67"/>
    <w:rsid w:val="00A052DC"/>
    <w:rsid w:val="00A07FDA"/>
    <w:rsid w:val="00A119E0"/>
    <w:rsid w:val="00A122D8"/>
    <w:rsid w:val="00A12674"/>
    <w:rsid w:val="00A12D78"/>
    <w:rsid w:val="00A134DE"/>
    <w:rsid w:val="00A13D7C"/>
    <w:rsid w:val="00A14880"/>
    <w:rsid w:val="00A20C7A"/>
    <w:rsid w:val="00A21604"/>
    <w:rsid w:val="00A21AD5"/>
    <w:rsid w:val="00A22556"/>
    <w:rsid w:val="00A22A7F"/>
    <w:rsid w:val="00A23EE5"/>
    <w:rsid w:val="00A26556"/>
    <w:rsid w:val="00A26B8D"/>
    <w:rsid w:val="00A325D0"/>
    <w:rsid w:val="00A33F2C"/>
    <w:rsid w:val="00A37A42"/>
    <w:rsid w:val="00A43EF3"/>
    <w:rsid w:val="00A44BB8"/>
    <w:rsid w:val="00A47FD3"/>
    <w:rsid w:val="00A5140C"/>
    <w:rsid w:val="00A521BB"/>
    <w:rsid w:val="00A5325E"/>
    <w:rsid w:val="00A533CD"/>
    <w:rsid w:val="00A53F5F"/>
    <w:rsid w:val="00A5488C"/>
    <w:rsid w:val="00A564ED"/>
    <w:rsid w:val="00A5701D"/>
    <w:rsid w:val="00A60DBC"/>
    <w:rsid w:val="00A61832"/>
    <w:rsid w:val="00A62421"/>
    <w:rsid w:val="00A62C41"/>
    <w:rsid w:val="00A6369F"/>
    <w:rsid w:val="00A641C1"/>
    <w:rsid w:val="00A64570"/>
    <w:rsid w:val="00A67A8C"/>
    <w:rsid w:val="00A7060D"/>
    <w:rsid w:val="00A70FB1"/>
    <w:rsid w:val="00A71B38"/>
    <w:rsid w:val="00A7313D"/>
    <w:rsid w:val="00A74998"/>
    <w:rsid w:val="00A74B06"/>
    <w:rsid w:val="00A74C72"/>
    <w:rsid w:val="00A74D31"/>
    <w:rsid w:val="00A77AD4"/>
    <w:rsid w:val="00A816E5"/>
    <w:rsid w:val="00A8253C"/>
    <w:rsid w:val="00A832AD"/>
    <w:rsid w:val="00A83CBD"/>
    <w:rsid w:val="00A87D28"/>
    <w:rsid w:val="00A90727"/>
    <w:rsid w:val="00A90940"/>
    <w:rsid w:val="00A911DF"/>
    <w:rsid w:val="00A95328"/>
    <w:rsid w:val="00AA02D7"/>
    <w:rsid w:val="00AA02E9"/>
    <w:rsid w:val="00AA043B"/>
    <w:rsid w:val="00AA161B"/>
    <w:rsid w:val="00AA16C5"/>
    <w:rsid w:val="00AA2B15"/>
    <w:rsid w:val="00AA3E7F"/>
    <w:rsid w:val="00AA43F8"/>
    <w:rsid w:val="00AA72D5"/>
    <w:rsid w:val="00AA7A6B"/>
    <w:rsid w:val="00AB014F"/>
    <w:rsid w:val="00AB300A"/>
    <w:rsid w:val="00AB74E3"/>
    <w:rsid w:val="00AC0C1C"/>
    <w:rsid w:val="00AC0EFF"/>
    <w:rsid w:val="00AC16DD"/>
    <w:rsid w:val="00AC18CC"/>
    <w:rsid w:val="00AC2720"/>
    <w:rsid w:val="00AC38F7"/>
    <w:rsid w:val="00AC51CC"/>
    <w:rsid w:val="00AC6949"/>
    <w:rsid w:val="00AC6D48"/>
    <w:rsid w:val="00AC7B14"/>
    <w:rsid w:val="00AC7D00"/>
    <w:rsid w:val="00AD1988"/>
    <w:rsid w:val="00AD1E75"/>
    <w:rsid w:val="00AD658B"/>
    <w:rsid w:val="00AD777B"/>
    <w:rsid w:val="00AE27CE"/>
    <w:rsid w:val="00AE359A"/>
    <w:rsid w:val="00AE5107"/>
    <w:rsid w:val="00AE5165"/>
    <w:rsid w:val="00AF06CF"/>
    <w:rsid w:val="00AF0BBF"/>
    <w:rsid w:val="00AF1203"/>
    <w:rsid w:val="00AF1741"/>
    <w:rsid w:val="00AF4B58"/>
    <w:rsid w:val="00AF4D32"/>
    <w:rsid w:val="00AF5F47"/>
    <w:rsid w:val="00B00B37"/>
    <w:rsid w:val="00B02DD7"/>
    <w:rsid w:val="00B0376B"/>
    <w:rsid w:val="00B06AFA"/>
    <w:rsid w:val="00B079D5"/>
    <w:rsid w:val="00B150F6"/>
    <w:rsid w:val="00B1763E"/>
    <w:rsid w:val="00B2008B"/>
    <w:rsid w:val="00B21048"/>
    <w:rsid w:val="00B229CB"/>
    <w:rsid w:val="00B23268"/>
    <w:rsid w:val="00B24566"/>
    <w:rsid w:val="00B24D4C"/>
    <w:rsid w:val="00B2613A"/>
    <w:rsid w:val="00B2669D"/>
    <w:rsid w:val="00B26842"/>
    <w:rsid w:val="00B26D27"/>
    <w:rsid w:val="00B2743F"/>
    <w:rsid w:val="00B2795A"/>
    <w:rsid w:val="00B27BE8"/>
    <w:rsid w:val="00B27C3E"/>
    <w:rsid w:val="00B27EAC"/>
    <w:rsid w:val="00B3263F"/>
    <w:rsid w:val="00B334D0"/>
    <w:rsid w:val="00B348CA"/>
    <w:rsid w:val="00B34DF6"/>
    <w:rsid w:val="00B3692B"/>
    <w:rsid w:val="00B36C25"/>
    <w:rsid w:val="00B409C0"/>
    <w:rsid w:val="00B40CE8"/>
    <w:rsid w:val="00B41CAB"/>
    <w:rsid w:val="00B429E0"/>
    <w:rsid w:val="00B436C2"/>
    <w:rsid w:val="00B43B20"/>
    <w:rsid w:val="00B455E1"/>
    <w:rsid w:val="00B4725E"/>
    <w:rsid w:val="00B50043"/>
    <w:rsid w:val="00B50D8A"/>
    <w:rsid w:val="00B5410C"/>
    <w:rsid w:val="00B54319"/>
    <w:rsid w:val="00B57BB7"/>
    <w:rsid w:val="00B61DE2"/>
    <w:rsid w:val="00B62261"/>
    <w:rsid w:val="00B62EF1"/>
    <w:rsid w:val="00B63914"/>
    <w:rsid w:val="00B66311"/>
    <w:rsid w:val="00B6736C"/>
    <w:rsid w:val="00B67810"/>
    <w:rsid w:val="00B6794F"/>
    <w:rsid w:val="00B71318"/>
    <w:rsid w:val="00B717D3"/>
    <w:rsid w:val="00B731EC"/>
    <w:rsid w:val="00B73974"/>
    <w:rsid w:val="00B7475D"/>
    <w:rsid w:val="00B776BE"/>
    <w:rsid w:val="00B80270"/>
    <w:rsid w:val="00B803F9"/>
    <w:rsid w:val="00B80AAE"/>
    <w:rsid w:val="00B81546"/>
    <w:rsid w:val="00B820B3"/>
    <w:rsid w:val="00B8260B"/>
    <w:rsid w:val="00B83896"/>
    <w:rsid w:val="00B83BD1"/>
    <w:rsid w:val="00B847C7"/>
    <w:rsid w:val="00B85690"/>
    <w:rsid w:val="00B875FF"/>
    <w:rsid w:val="00B912EF"/>
    <w:rsid w:val="00B918B6"/>
    <w:rsid w:val="00B9198F"/>
    <w:rsid w:val="00B91BAE"/>
    <w:rsid w:val="00B92884"/>
    <w:rsid w:val="00B92A9C"/>
    <w:rsid w:val="00B9428E"/>
    <w:rsid w:val="00B95F3C"/>
    <w:rsid w:val="00B970EA"/>
    <w:rsid w:val="00BA1ACF"/>
    <w:rsid w:val="00BA2722"/>
    <w:rsid w:val="00BA403D"/>
    <w:rsid w:val="00BA5043"/>
    <w:rsid w:val="00BA594F"/>
    <w:rsid w:val="00BA5C5A"/>
    <w:rsid w:val="00BA6F1A"/>
    <w:rsid w:val="00BB2F7F"/>
    <w:rsid w:val="00BC068D"/>
    <w:rsid w:val="00BC2E4D"/>
    <w:rsid w:val="00BC317F"/>
    <w:rsid w:val="00BC3BD8"/>
    <w:rsid w:val="00BC6625"/>
    <w:rsid w:val="00BC6EA7"/>
    <w:rsid w:val="00BD0CD1"/>
    <w:rsid w:val="00BD0D89"/>
    <w:rsid w:val="00BD139A"/>
    <w:rsid w:val="00BD22F6"/>
    <w:rsid w:val="00BD2B4A"/>
    <w:rsid w:val="00BD33F5"/>
    <w:rsid w:val="00BD54C5"/>
    <w:rsid w:val="00BD6330"/>
    <w:rsid w:val="00BD79BE"/>
    <w:rsid w:val="00BD7C07"/>
    <w:rsid w:val="00BE27CA"/>
    <w:rsid w:val="00BE2987"/>
    <w:rsid w:val="00BE4A80"/>
    <w:rsid w:val="00BE6052"/>
    <w:rsid w:val="00BF006C"/>
    <w:rsid w:val="00BF11FE"/>
    <w:rsid w:val="00BF3124"/>
    <w:rsid w:val="00BF365F"/>
    <w:rsid w:val="00BF4186"/>
    <w:rsid w:val="00BF6294"/>
    <w:rsid w:val="00C01ADC"/>
    <w:rsid w:val="00C02343"/>
    <w:rsid w:val="00C0350A"/>
    <w:rsid w:val="00C05CCB"/>
    <w:rsid w:val="00C05EA2"/>
    <w:rsid w:val="00C0629B"/>
    <w:rsid w:val="00C06394"/>
    <w:rsid w:val="00C07037"/>
    <w:rsid w:val="00C0740D"/>
    <w:rsid w:val="00C0764B"/>
    <w:rsid w:val="00C07EAE"/>
    <w:rsid w:val="00C1058D"/>
    <w:rsid w:val="00C120BE"/>
    <w:rsid w:val="00C120FC"/>
    <w:rsid w:val="00C12EE5"/>
    <w:rsid w:val="00C13DE1"/>
    <w:rsid w:val="00C15E77"/>
    <w:rsid w:val="00C20533"/>
    <w:rsid w:val="00C21581"/>
    <w:rsid w:val="00C23901"/>
    <w:rsid w:val="00C23FC4"/>
    <w:rsid w:val="00C252CF"/>
    <w:rsid w:val="00C26865"/>
    <w:rsid w:val="00C268A7"/>
    <w:rsid w:val="00C2722B"/>
    <w:rsid w:val="00C27258"/>
    <w:rsid w:val="00C31F74"/>
    <w:rsid w:val="00C32091"/>
    <w:rsid w:val="00C33426"/>
    <w:rsid w:val="00C36638"/>
    <w:rsid w:val="00C366FF"/>
    <w:rsid w:val="00C37ED5"/>
    <w:rsid w:val="00C40514"/>
    <w:rsid w:val="00C40FBF"/>
    <w:rsid w:val="00C424EC"/>
    <w:rsid w:val="00C42A7F"/>
    <w:rsid w:val="00C42AC3"/>
    <w:rsid w:val="00C449DC"/>
    <w:rsid w:val="00C45D0D"/>
    <w:rsid w:val="00C46C51"/>
    <w:rsid w:val="00C46F79"/>
    <w:rsid w:val="00C515AF"/>
    <w:rsid w:val="00C51C4E"/>
    <w:rsid w:val="00C536CB"/>
    <w:rsid w:val="00C55D90"/>
    <w:rsid w:val="00C6040E"/>
    <w:rsid w:val="00C61817"/>
    <w:rsid w:val="00C61E11"/>
    <w:rsid w:val="00C625E2"/>
    <w:rsid w:val="00C63DF4"/>
    <w:rsid w:val="00C645D3"/>
    <w:rsid w:val="00C65D94"/>
    <w:rsid w:val="00C66668"/>
    <w:rsid w:val="00C7003E"/>
    <w:rsid w:val="00C705DE"/>
    <w:rsid w:val="00C70FAA"/>
    <w:rsid w:val="00C7141B"/>
    <w:rsid w:val="00C7190A"/>
    <w:rsid w:val="00C72833"/>
    <w:rsid w:val="00C72B2D"/>
    <w:rsid w:val="00C73061"/>
    <w:rsid w:val="00C73B57"/>
    <w:rsid w:val="00C73F06"/>
    <w:rsid w:val="00C80A9D"/>
    <w:rsid w:val="00C81020"/>
    <w:rsid w:val="00C82449"/>
    <w:rsid w:val="00C82BA9"/>
    <w:rsid w:val="00C8450E"/>
    <w:rsid w:val="00C86F96"/>
    <w:rsid w:val="00C90DE5"/>
    <w:rsid w:val="00C954F4"/>
    <w:rsid w:val="00C96C4A"/>
    <w:rsid w:val="00C97435"/>
    <w:rsid w:val="00C9745D"/>
    <w:rsid w:val="00C97E2B"/>
    <w:rsid w:val="00CA1A9E"/>
    <w:rsid w:val="00CA1AF3"/>
    <w:rsid w:val="00CA1D02"/>
    <w:rsid w:val="00CA387C"/>
    <w:rsid w:val="00CA5218"/>
    <w:rsid w:val="00CA6CA9"/>
    <w:rsid w:val="00CB0067"/>
    <w:rsid w:val="00CB1D7A"/>
    <w:rsid w:val="00CB1D91"/>
    <w:rsid w:val="00CB3002"/>
    <w:rsid w:val="00CB3BF3"/>
    <w:rsid w:val="00CB3D48"/>
    <w:rsid w:val="00CB557F"/>
    <w:rsid w:val="00CB59E2"/>
    <w:rsid w:val="00CB7743"/>
    <w:rsid w:val="00CC0FC5"/>
    <w:rsid w:val="00CC0FDC"/>
    <w:rsid w:val="00CC1924"/>
    <w:rsid w:val="00CC2694"/>
    <w:rsid w:val="00CC2DBD"/>
    <w:rsid w:val="00CC3017"/>
    <w:rsid w:val="00CC5DAA"/>
    <w:rsid w:val="00CC64F9"/>
    <w:rsid w:val="00CD031B"/>
    <w:rsid w:val="00CD0943"/>
    <w:rsid w:val="00CD4673"/>
    <w:rsid w:val="00CD4E72"/>
    <w:rsid w:val="00CD6E44"/>
    <w:rsid w:val="00CD7FF7"/>
    <w:rsid w:val="00CE04EA"/>
    <w:rsid w:val="00CE3784"/>
    <w:rsid w:val="00CE3A38"/>
    <w:rsid w:val="00CE4C83"/>
    <w:rsid w:val="00CE4D95"/>
    <w:rsid w:val="00CE5ECB"/>
    <w:rsid w:val="00CE6003"/>
    <w:rsid w:val="00CE6C64"/>
    <w:rsid w:val="00CF0977"/>
    <w:rsid w:val="00CF1A39"/>
    <w:rsid w:val="00CF2861"/>
    <w:rsid w:val="00CF2AE0"/>
    <w:rsid w:val="00CF33F6"/>
    <w:rsid w:val="00CF47E8"/>
    <w:rsid w:val="00CF6B7C"/>
    <w:rsid w:val="00CF6DDF"/>
    <w:rsid w:val="00D019DC"/>
    <w:rsid w:val="00D01C13"/>
    <w:rsid w:val="00D01CAC"/>
    <w:rsid w:val="00D03500"/>
    <w:rsid w:val="00D04D5A"/>
    <w:rsid w:val="00D05505"/>
    <w:rsid w:val="00D05F8E"/>
    <w:rsid w:val="00D10D23"/>
    <w:rsid w:val="00D10EF9"/>
    <w:rsid w:val="00D11CF7"/>
    <w:rsid w:val="00D13702"/>
    <w:rsid w:val="00D13F7E"/>
    <w:rsid w:val="00D16442"/>
    <w:rsid w:val="00D21658"/>
    <w:rsid w:val="00D220F2"/>
    <w:rsid w:val="00D221CC"/>
    <w:rsid w:val="00D23BA4"/>
    <w:rsid w:val="00D24AE3"/>
    <w:rsid w:val="00D25B9D"/>
    <w:rsid w:val="00D27DB8"/>
    <w:rsid w:val="00D27FE6"/>
    <w:rsid w:val="00D31533"/>
    <w:rsid w:val="00D32895"/>
    <w:rsid w:val="00D342B3"/>
    <w:rsid w:val="00D349F1"/>
    <w:rsid w:val="00D356AF"/>
    <w:rsid w:val="00D36135"/>
    <w:rsid w:val="00D41A68"/>
    <w:rsid w:val="00D420B2"/>
    <w:rsid w:val="00D43986"/>
    <w:rsid w:val="00D43B3D"/>
    <w:rsid w:val="00D444B9"/>
    <w:rsid w:val="00D44E61"/>
    <w:rsid w:val="00D456A8"/>
    <w:rsid w:val="00D4711C"/>
    <w:rsid w:val="00D478DA"/>
    <w:rsid w:val="00D508D7"/>
    <w:rsid w:val="00D524A6"/>
    <w:rsid w:val="00D54C87"/>
    <w:rsid w:val="00D573CE"/>
    <w:rsid w:val="00D577DE"/>
    <w:rsid w:val="00D6023F"/>
    <w:rsid w:val="00D61135"/>
    <w:rsid w:val="00D61861"/>
    <w:rsid w:val="00D627D0"/>
    <w:rsid w:val="00D6382F"/>
    <w:rsid w:val="00D63A7D"/>
    <w:rsid w:val="00D6585E"/>
    <w:rsid w:val="00D65A96"/>
    <w:rsid w:val="00D6629A"/>
    <w:rsid w:val="00D667E3"/>
    <w:rsid w:val="00D7085F"/>
    <w:rsid w:val="00D70C2F"/>
    <w:rsid w:val="00D721D7"/>
    <w:rsid w:val="00D72EF5"/>
    <w:rsid w:val="00D73853"/>
    <w:rsid w:val="00D73DC4"/>
    <w:rsid w:val="00D74243"/>
    <w:rsid w:val="00D7441C"/>
    <w:rsid w:val="00D745E9"/>
    <w:rsid w:val="00D75230"/>
    <w:rsid w:val="00D757E9"/>
    <w:rsid w:val="00D7612F"/>
    <w:rsid w:val="00D7798E"/>
    <w:rsid w:val="00D77DDF"/>
    <w:rsid w:val="00D815BC"/>
    <w:rsid w:val="00D827A7"/>
    <w:rsid w:val="00D8418E"/>
    <w:rsid w:val="00D84D7E"/>
    <w:rsid w:val="00D90841"/>
    <w:rsid w:val="00D90C8B"/>
    <w:rsid w:val="00D912E7"/>
    <w:rsid w:val="00D93809"/>
    <w:rsid w:val="00D95446"/>
    <w:rsid w:val="00DA00B9"/>
    <w:rsid w:val="00DA15D4"/>
    <w:rsid w:val="00DA30FF"/>
    <w:rsid w:val="00DA34AF"/>
    <w:rsid w:val="00DA46C2"/>
    <w:rsid w:val="00DA492E"/>
    <w:rsid w:val="00DA4F9F"/>
    <w:rsid w:val="00DA560B"/>
    <w:rsid w:val="00DA57B0"/>
    <w:rsid w:val="00DA730F"/>
    <w:rsid w:val="00DA7C6F"/>
    <w:rsid w:val="00DB0284"/>
    <w:rsid w:val="00DB1AE9"/>
    <w:rsid w:val="00DB31CD"/>
    <w:rsid w:val="00DB582D"/>
    <w:rsid w:val="00DB6B7B"/>
    <w:rsid w:val="00DB7D5C"/>
    <w:rsid w:val="00DC2785"/>
    <w:rsid w:val="00DC3E65"/>
    <w:rsid w:val="00DC7343"/>
    <w:rsid w:val="00DC7567"/>
    <w:rsid w:val="00DC759D"/>
    <w:rsid w:val="00DD0368"/>
    <w:rsid w:val="00DD4325"/>
    <w:rsid w:val="00DD62C6"/>
    <w:rsid w:val="00DD6A11"/>
    <w:rsid w:val="00DE1418"/>
    <w:rsid w:val="00DE33F0"/>
    <w:rsid w:val="00DE6807"/>
    <w:rsid w:val="00DE74B2"/>
    <w:rsid w:val="00DF0711"/>
    <w:rsid w:val="00DF0DF0"/>
    <w:rsid w:val="00DF0F49"/>
    <w:rsid w:val="00DF14D5"/>
    <w:rsid w:val="00DF16C9"/>
    <w:rsid w:val="00DF1B60"/>
    <w:rsid w:val="00DF1E12"/>
    <w:rsid w:val="00DF212E"/>
    <w:rsid w:val="00DF3145"/>
    <w:rsid w:val="00DF358B"/>
    <w:rsid w:val="00DF3847"/>
    <w:rsid w:val="00DF457F"/>
    <w:rsid w:val="00DF4B20"/>
    <w:rsid w:val="00DF5893"/>
    <w:rsid w:val="00DF5C47"/>
    <w:rsid w:val="00DF6FE2"/>
    <w:rsid w:val="00E004AA"/>
    <w:rsid w:val="00E01F4A"/>
    <w:rsid w:val="00E049B2"/>
    <w:rsid w:val="00E05F7D"/>
    <w:rsid w:val="00E107BC"/>
    <w:rsid w:val="00E137EE"/>
    <w:rsid w:val="00E146F7"/>
    <w:rsid w:val="00E153F3"/>
    <w:rsid w:val="00E16904"/>
    <w:rsid w:val="00E207EE"/>
    <w:rsid w:val="00E2116E"/>
    <w:rsid w:val="00E226B7"/>
    <w:rsid w:val="00E2381E"/>
    <w:rsid w:val="00E2421E"/>
    <w:rsid w:val="00E2446B"/>
    <w:rsid w:val="00E2467C"/>
    <w:rsid w:val="00E2500B"/>
    <w:rsid w:val="00E26DB8"/>
    <w:rsid w:val="00E30AFD"/>
    <w:rsid w:val="00E31903"/>
    <w:rsid w:val="00E3269E"/>
    <w:rsid w:val="00E350C4"/>
    <w:rsid w:val="00E36070"/>
    <w:rsid w:val="00E40966"/>
    <w:rsid w:val="00E40EED"/>
    <w:rsid w:val="00E41A33"/>
    <w:rsid w:val="00E41C75"/>
    <w:rsid w:val="00E422CF"/>
    <w:rsid w:val="00E43028"/>
    <w:rsid w:val="00E43A84"/>
    <w:rsid w:val="00E444C5"/>
    <w:rsid w:val="00E46206"/>
    <w:rsid w:val="00E46802"/>
    <w:rsid w:val="00E46CCF"/>
    <w:rsid w:val="00E47055"/>
    <w:rsid w:val="00E52EE6"/>
    <w:rsid w:val="00E54A95"/>
    <w:rsid w:val="00E56C88"/>
    <w:rsid w:val="00E61620"/>
    <w:rsid w:val="00E64412"/>
    <w:rsid w:val="00E649C3"/>
    <w:rsid w:val="00E64ADD"/>
    <w:rsid w:val="00E6623B"/>
    <w:rsid w:val="00E70E10"/>
    <w:rsid w:val="00E70F91"/>
    <w:rsid w:val="00E724B5"/>
    <w:rsid w:val="00E724DF"/>
    <w:rsid w:val="00E7339B"/>
    <w:rsid w:val="00E73C51"/>
    <w:rsid w:val="00E74E3F"/>
    <w:rsid w:val="00E755D6"/>
    <w:rsid w:val="00E75D4B"/>
    <w:rsid w:val="00E77432"/>
    <w:rsid w:val="00E77527"/>
    <w:rsid w:val="00E806D5"/>
    <w:rsid w:val="00E83ADC"/>
    <w:rsid w:val="00E84E00"/>
    <w:rsid w:val="00E85262"/>
    <w:rsid w:val="00E8768D"/>
    <w:rsid w:val="00E9044E"/>
    <w:rsid w:val="00E907C3"/>
    <w:rsid w:val="00E9353B"/>
    <w:rsid w:val="00E96F7B"/>
    <w:rsid w:val="00EA12AC"/>
    <w:rsid w:val="00EA2593"/>
    <w:rsid w:val="00EA32DF"/>
    <w:rsid w:val="00EA3EAF"/>
    <w:rsid w:val="00EA67FB"/>
    <w:rsid w:val="00EA7D23"/>
    <w:rsid w:val="00EA7E87"/>
    <w:rsid w:val="00EB2D43"/>
    <w:rsid w:val="00EB3DC3"/>
    <w:rsid w:val="00EB4AAA"/>
    <w:rsid w:val="00EB6917"/>
    <w:rsid w:val="00EB7243"/>
    <w:rsid w:val="00EC0D9B"/>
    <w:rsid w:val="00EC2FCD"/>
    <w:rsid w:val="00EC53AC"/>
    <w:rsid w:val="00EC5E3F"/>
    <w:rsid w:val="00EC5E6E"/>
    <w:rsid w:val="00ED1145"/>
    <w:rsid w:val="00ED283F"/>
    <w:rsid w:val="00ED306D"/>
    <w:rsid w:val="00ED3DAC"/>
    <w:rsid w:val="00ED47DA"/>
    <w:rsid w:val="00ED576B"/>
    <w:rsid w:val="00ED7538"/>
    <w:rsid w:val="00ED7CA4"/>
    <w:rsid w:val="00EE163C"/>
    <w:rsid w:val="00EE1E14"/>
    <w:rsid w:val="00EE2625"/>
    <w:rsid w:val="00EE65DC"/>
    <w:rsid w:val="00EE6E9A"/>
    <w:rsid w:val="00EF0016"/>
    <w:rsid w:val="00EF086B"/>
    <w:rsid w:val="00EF1695"/>
    <w:rsid w:val="00EF1AAA"/>
    <w:rsid w:val="00EF241C"/>
    <w:rsid w:val="00EF5CF2"/>
    <w:rsid w:val="00EF669F"/>
    <w:rsid w:val="00EF71A3"/>
    <w:rsid w:val="00F0004A"/>
    <w:rsid w:val="00F005FA"/>
    <w:rsid w:val="00F02427"/>
    <w:rsid w:val="00F0691B"/>
    <w:rsid w:val="00F0755E"/>
    <w:rsid w:val="00F07846"/>
    <w:rsid w:val="00F10E01"/>
    <w:rsid w:val="00F110A2"/>
    <w:rsid w:val="00F12245"/>
    <w:rsid w:val="00F14128"/>
    <w:rsid w:val="00F141A2"/>
    <w:rsid w:val="00F1477C"/>
    <w:rsid w:val="00F166C7"/>
    <w:rsid w:val="00F17A66"/>
    <w:rsid w:val="00F21525"/>
    <w:rsid w:val="00F22429"/>
    <w:rsid w:val="00F2252F"/>
    <w:rsid w:val="00F229C2"/>
    <w:rsid w:val="00F22E77"/>
    <w:rsid w:val="00F23ED1"/>
    <w:rsid w:val="00F24284"/>
    <w:rsid w:val="00F260A3"/>
    <w:rsid w:val="00F26C34"/>
    <w:rsid w:val="00F273F0"/>
    <w:rsid w:val="00F27450"/>
    <w:rsid w:val="00F275D9"/>
    <w:rsid w:val="00F316FD"/>
    <w:rsid w:val="00F31E1B"/>
    <w:rsid w:val="00F326E5"/>
    <w:rsid w:val="00F326E9"/>
    <w:rsid w:val="00F33E6D"/>
    <w:rsid w:val="00F34D8C"/>
    <w:rsid w:val="00F352A9"/>
    <w:rsid w:val="00F353CA"/>
    <w:rsid w:val="00F361B6"/>
    <w:rsid w:val="00F36890"/>
    <w:rsid w:val="00F37839"/>
    <w:rsid w:val="00F40BDA"/>
    <w:rsid w:val="00F40FDB"/>
    <w:rsid w:val="00F412A7"/>
    <w:rsid w:val="00F42935"/>
    <w:rsid w:val="00F43DE6"/>
    <w:rsid w:val="00F45EC1"/>
    <w:rsid w:val="00F466A9"/>
    <w:rsid w:val="00F47CAC"/>
    <w:rsid w:val="00F51480"/>
    <w:rsid w:val="00F5189E"/>
    <w:rsid w:val="00F55E9F"/>
    <w:rsid w:val="00F561A6"/>
    <w:rsid w:val="00F562C8"/>
    <w:rsid w:val="00F5761B"/>
    <w:rsid w:val="00F60DFF"/>
    <w:rsid w:val="00F6167F"/>
    <w:rsid w:val="00F627B4"/>
    <w:rsid w:val="00F63189"/>
    <w:rsid w:val="00F63351"/>
    <w:rsid w:val="00F6385E"/>
    <w:rsid w:val="00F63CBA"/>
    <w:rsid w:val="00F642E2"/>
    <w:rsid w:val="00F648FA"/>
    <w:rsid w:val="00F651B4"/>
    <w:rsid w:val="00F65B8C"/>
    <w:rsid w:val="00F65FE8"/>
    <w:rsid w:val="00F666BE"/>
    <w:rsid w:val="00F6690A"/>
    <w:rsid w:val="00F678A7"/>
    <w:rsid w:val="00F703B6"/>
    <w:rsid w:val="00F71EF7"/>
    <w:rsid w:val="00F71FB5"/>
    <w:rsid w:val="00F725EB"/>
    <w:rsid w:val="00F726E1"/>
    <w:rsid w:val="00F72AEE"/>
    <w:rsid w:val="00F7391C"/>
    <w:rsid w:val="00F75592"/>
    <w:rsid w:val="00F75D85"/>
    <w:rsid w:val="00F772E9"/>
    <w:rsid w:val="00F81C95"/>
    <w:rsid w:val="00F820E1"/>
    <w:rsid w:val="00F834F6"/>
    <w:rsid w:val="00F839B7"/>
    <w:rsid w:val="00F83CDC"/>
    <w:rsid w:val="00F84F3A"/>
    <w:rsid w:val="00F86BEA"/>
    <w:rsid w:val="00F874C4"/>
    <w:rsid w:val="00F91722"/>
    <w:rsid w:val="00F92186"/>
    <w:rsid w:val="00F927F5"/>
    <w:rsid w:val="00F92C42"/>
    <w:rsid w:val="00F93581"/>
    <w:rsid w:val="00F93F59"/>
    <w:rsid w:val="00F94ABC"/>
    <w:rsid w:val="00F9502B"/>
    <w:rsid w:val="00F9722A"/>
    <w:rsid w:val="00F97686"/>
    <w:rsid w:val="00F97DB4"/>
    <w:rsid w:val="00FA23FB"/>
    <w:rsid w:val="00FA2EFE"/>
    <w:rsid w:val="00FA3A00"/>
    <w:rsid w:val="00FA4DB8"/>
    <w:rsid w:val="00FA4E61"/>
    <w:rsid w:val="00FA5216"/>
    <w:rsid w:val="00FA543D"/>
    <w:rsid w:val="00FA60CF"/>
    <w:rsid w:val="00FA7751"/>
    <w:rsid w:val="00FB43F1"/>
    <w:rsid w:val="00FB4A65"/>
    <w:rsid w:val="00FB5345"/>
    <w:rsid w:val="00FB6D35"/>
    <w:rsid w:val="00FC3ABF"/>
    <w:rsid w:val="00FC46F4"/>
    <w:rsid w:val="00FC4E67"/>
    <w:rsid w:val="00FC51D8"/>
    <w:rsid w:val="00FC6368"/>
    <w:rsid w:val="00FD02A2"/>
    <w:rsid w:val="00FD1B09"/>
    <w:rsid w:val="00FD1E03"/>
    <w:rsid w:val="00FD279E"/>
    <w:rsid w:val="00FD3160"/>
    <w:rsid w:val="00FD31DE"/>
    <w:rsid w:val="00FD3368"/>
    <w:rsid w:val="00FD4733"/>
    <w:rsid w:val="00FD4A7B"/>
    <w:rsid w:val="00FD56BF"/>
    <w:rsid w:val="00FD64CC"/>
    <w:rsid w:val="00FD6A02"/>
    <w:rsid w:val="00FD6D60"/>
    <w:rsid w:val="00FE165D"/>
    <w:rsid w:val="00FE20E1"/>
    <w:rsid w:val="00FE2C6D"/>
    <w:rsid w:val="00FE31D4"/>
    <w:rsid w:val="00FE3603"/>
    <w:rsid w:val="00FE4287"/>
    <w:rsid w:val="00FE5928"/>
    <w:rsid w:val="00FE7C83"/>
    <w:rsid w:val="00FF15B2"/>
    <w:rsid w:val="00FF5194"/>
    <w:rsid w:val="00FF543A"/>
    <w:rsid w:val="00FF74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160"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C1"/>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400C1"/>
    <w:pPr>
      <w:keepNext/>
      <w:keepLines/>
      <w:spacing w:after="0"/>
      <w:ind w:right="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400C1"/>
    <w:pPr>
      <w:keepNext/>
      <w:keepLines/>
      <w:spacing w:after="0"/>
      <w:ind w:left="10" w:right="6"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00C1"/>
    <w:rPr>
      <w:rFonts w:ascii="Times New Roman" w:eastAsia="Times New Roman" w:hAnsi="Times New Roman" w:cs="Times New Roman"/>
      <w:b/>
      <w:color w:val="000000"/>
      <w:sz w:val="20"/>
    </w:rPr>
  </w:style>
  <w:style w:type="character" w:customStyle="1" w:styleId="Heading1Char">
    <w:name w:val="Heading 1 Char"/>
    <w:link w:val="Heading1"/>
    <w:rsid w:val="008400C1"/>
    <w:rPr>
      <w:rFonts w:ascii="Times New Roman" w:eastAsia="Times New Roman" w:hAnsi="Times New Roman" w:cs="Times New Roman"/>
      <w:b/>
      <w:color w:val="000000"/>
      <w:sz w:val="28"/>
    </w:rPr>
  </w:style>
  <w:style w:type="table" w:customStyle="1" w:styleId="TableGrid">
    <w:name w:val="TableGrid"/>
    <w:rsid w:val="008400C1"/>
    <w:pPr>
      <w:spacing w:after="0"/>
    </w:pPr>
    <w:tblPr>
      <w:tblCellMar>
        <w:top w:w="0" w:type="dxa"/>
        <w:left w:w="0" w:type="dxa"/>
        <w:bottom w:w="0" w:type="dxa"/>
        <w:right w:w="0" w:type="dxa"/>
      </w:tblCellMar>
    </w:tblPr>
  </w:style>
  <w:style w:type="paragraph" w:styleId="ListParagraph">
    <w:name w:val="List Paragraph"/>
    <w:basedOn w:val="Normal"/>
    <w:uiPriority w:val="34"/>
    <w:qFormat/>
    <w:rsid w:val="008736D9"/>
    <w:pPr>
      <w:spacing w:line="259" w:lineRule="auto"/>
      <w:ind w:left="72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54379"/>
    <w:rPr>
      <w:color w:val="F49100" w:themeColor="hyperlink"/>
      <w:u w:val="single"/>
    </w:rPr>
  </w:style>
  <w:style w:type="paragraph" w:styleId="BalloonText">
    <w:name w:val="Balloon Text"/>
    <w:basedOn w:val="Normal"/>
    <w:link w:val="BalloonTextChar"/>
    <w:uiPriority w:val="99"/>
    <w:semiHidden/>
    <w:unhideWhenUsed/>
    <w:rsid w:val="005E1D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E7"/>
    <w:rPr>
      <w:rFonts w:ascii="Tahoma" w:eastAsia="Times New Roman" w:hAnsi="Tahoma" w:cs="Tahoma"/>
      <w:color w:val="000000"/>
      <w:sz w:val="16"/>
      <w:szCs w:val="16"/>
    </w:rPr>
  </w:style>
  <w:style w:type="character" w:styleId="Strong">
    <w:name w:val="Strong"/>
    <w:basedOn w:val="DefaultParagraphFont"/>
    <w:uiPriority w:val="22"/>
    <w:qFormat/>
    <w:rsid w:val="005D72B1"/>
    <w:rPr>
      <w:b/>
      <w:bCs/>
    </w:rPr>
  </w:style>
  <w:style w:type="paragraph" w:customStyle="1" w:styleId="Normal1">
    <w:name w:val="Normal1"/>
    <w:rsid w:val="00F260A3"/>
    <w:pPr>
      <w:widowControl w:val="0"/>
      <w:spacing w:after="0"/>
    </w:pPr>
    <w:rPr>
      <w:rFonts w:ascii="Times New Roman" w:eastAsia="Times New Roman" w:hAnsi="Times New Roman" w:cs="Times New Roman"/>
    </w:rPr>
  </w:style>
  <w:style w:type="character" w:customStyle="1" w:styleId="topic-highlight">
    <w:name w:val="topic-highlight"/>
    <w:basedOn w:val="DefaultParagraphFont"/>
    <w:rsid w:val="008E1C79"/>
  </w:style>
  <w:style w:type="paragraph" w:styleId="HTMLPreformatted">
    <w:name w:val="HTML Preformatted"/>
    <w:basedOn w:val="Normal"/>
    <w:link w:val="HTMLPreformattedChar"/>
    <w:uiPriority w:val="99"/>
    <w:semiHidden/>
    <w:unhideWhenUsed/>
    <w:rsid w:val="0088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8821CA"/>
    <w:rPr>
      <w:rFonts w:ascii="Courier New" w:eastAsia="Times New Roman" w:hAnsi="Courier New" w:cs="Courier New"/>
      <w:sz w:val="20"/>
      <w:szCs w:val="20"/>
    </w:rPr>
  </w:style>
  <w:style w:type="table" w:styleId="TableGrid0">
    <w:name w:val="Table Grid"/>
    <w:basedOn w:val="TableNormal"/>
    <w:uiPriority w:val="59"/>
    <w:unhideWhenUsed/>
    <w:rsid w:val="00ED7CA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3D67"/>
    <w:pPr>
      <w:spacing w:before="100" w:beforeAutospacing="1" w:after="100" w:afterAutospacing="1"/>
      <w:jc w:val="left"/>
    </w:pPr>
    <w:rPr>
      <w:color w:val="auto"/>
      <w:sz w:val="24"/>
      <w:szCs w:val="24"/>
    </w:rPr>
  </w:style>
  <w:style w:type="paragraph" w:customStyle="1" w:styleId="rich-text-component">
    <w:name w:val="rich-text-component"/>
    <w:basedOn w:val="Normal"/>
    <w:rsid w:val="001A1811"/>
    <w:pPr>
      <w:spacing w:before="100" w:beforeAutospacing="1" w:after="100" w:afterAutospacing="1"/>
      <w:jc w:val="left"/>
    </w:pPr>
    <w:rPr>
      <w:bCs/>
      <w:color w:val="auto"/>
      <w:sz w:val="24"/>
      <w:szCs w:val="24"/>
    </w:rPr>
  </w:style>
  <w:style w:type="paragraph" w:styleId="Header">
    <w:name w:val="header"/>
    <w:basedOn w:val="Normal"/>
    <w:link w:val="HeaderChar"/>
    <w:uiPriority w:val="99"/>
    <w:semiHidden/>
    <w:unhideWhenUsed/>
    <w:rsid w:val="009048DD"/>
    <w:pPr>
      <w:tabs>
        <w:tab w:val="center" w:pos="4680"/>
        <w:tab w:val="right" w:pos="9360"/>
      </w:tabs>
      <w:spacing w:before="0" w:after="0"/>
    </w:pPr>
  </w:style>
  <w:style w:type="character" w:customStyle="1" w:styleId="HeaderChar">
    <w:name w:val="Header Char"/>
    <w:basedOn w:val="DefaultParagraphFont"/>
    <w:link w:val="Header"/>
    <w:uiPriority w:val="99"/>
    <w:semiHidden/>
    <w:rsid w:val="009048DD"/>
    <w:rPr>
      <w:rFonts w:ascii="Times New Roman" w:eastAsia="Times New Roman" w:hAnsi="Times New Roman" w:cs="Times New Roman"/>
      <w:color w:val="000000"/>
      <w:sz w:val="20"/>
    </w:rPr>
  </w:style>
  <w:style w:type="paragraph" w:styleId="Footer">
    <w:name w:val="footer"/>
    <w:basedOn w:val="Normal"/>
    <w:link w:val="FooterChar"/>
    <w:uiPriority w:val="99"/>
    <w:semiHidden/>
    <w:unhideWhenUsed/>
    <w:rsid w:val="009048DD"/>
    <w:pPr>
      <w:tabs>
        <w:tab w:val="center" w:pos="4680"/>
        <w:tab w:val="right" w:pos="9360"/>
      </w:tabs>
      <w:spacing w:before="0" w:after="0"/>
    </w:pPr>
  </w:style>
  <w:style w:type="character" w:customStyle="1" w:styleId="FooterChar">
    <w:name w:val="Footer Char"/>
    <w:basedOn w:val="DefaultParagraphFont"/>
    <w:link w:val="Footer"/>
    <w:uiPriority w:val="99"/>
    <w:semiHidden/>
    <w:rsid w:val="009048DD"/>
    <w:rPr>
      <w:rFonts w:ascii="Times New Roman" w:eastAsia="Times New Roman" w:hAnsi="Times New Roman" w:cs="Times New Roman"/>
      <w:color w:val="000000"/>
      <w:sz w:val="20"/>
    </w:rPr>
  </w:style>
</w:styles>
</file>

<file path=word/webSettings.xml><?xml version="1.0" encoding="utf-8"?>
<w:webSettings xmlns:r="http://schemas.openxmlformats.org/officeDocument/2006/relationships" xmlns:w="http://schemas.openxmlformats.org/wordprocessingml/2006/main">
  <w:divs>
    <w:div w:id="83573263">
      <w:bodyDiv w:val="1"/>
      <w:marLeft w:val="0"/>
      <w:marRight w:val="0"/>
      <w:marTop w:val="0"/>
      <w:marBottom w:val="0"/>
      <w:divBdr>
        <w:top w:val="none" w:sz="0" w:space="0" w:color="auto"/>
        <w:left w:val="none" w:sz="0" w:space="0" w:color="auto"/>
        <w:bottom w:val="none" w:sz="0" w:space="0" w:color="auto"/>
        <w:right w:val="none" w:sz="0" w:space="0" w:color="auto"/>
      </w:divBdr>
    </w:div>
    <w:div w:id="135686593">
      <w:bodyDiv w:val="1"/>
      <w:marLeft w:val="0"/>
      <w:marRight w:val="0"/>
      <w:marTop w:val="0"/>
      <w:marBottom w:val="0"/>
      <w:divBdr>
        <w:top w:val="none" w:sz="0" w:space="0" w:color="auto"/>
        <w:left w:val="none" w:sz="0" w:space="0" w:color="auto"/>
        <w:bottom w:val="none" w:sz="0" w:space="0" w:color="auto"/>
        <w:right w:val="none" w:sz="0" w:space="0" w:color="auto"/>
      </w:divBdr>
    </w:div>
    <w:div w:id="192498241">
      <w:bodyDiv w:val="1"/>
      <w:marLeft w:val="0"/>
      <w:marRight w:val="0"/>
      <w:marTop w:val="0"/>
      <w:marBottom w:val="0"/>
      <w:divBdr>
        <w:top w:val="none" w:sz="0" w:space="0" w:color="auto"/>
        <w:left w:val="none" w:sz="0" w:space="0" w:color="auto"/>
        <w:bottom w:val="none" w:sz="0" w:space="0" w:color="auto"/>
        <w:right w:val="none" w:sz="0" w:space="0" w:color="auto"/>
      </w:divBdr>
    </w:div>
    <w:div w:id="258488173">
      <w:bodyDiv w:val="1"/>
      <w:marLeft w:val="0"/>
      <w:marRight w:val="0"/>
      <w:marTop w:val="0"/>
      <w:marBottom w:val="0"/>
      <w:divBdr>
        <w:top w:val="none" w:sz="0" w:space="0" w:color="auto"/>
        <w:left w:val="none" w:sz="0" w:space="0" w:color="auto"/>
        <w:bottom w:val="none" w:sz="0" w:space="0" w:color="auto"/>
        <w:right w:val="none" w:sz="0" w:space="0" w:color="auto"/>
      </w:divBdr>
    </w:div>
    <w:div w:id="279532187">
      <w:bodyDiv w:val="1"/>
      <w:marLeft w:val="0"/>
      <w:marRight w:val="0"/>
      <w:marTop w:val="0"/>
      <w:marBottom w:val="0"/>
      <w:divBdr>
        <w:top w:val="none" w:sz="0" w:space="0" w:color="auto"/>
        <w:left w:val="none" w:sz="0" w:space="0" w:color="auto"/>
        <w:bottom w:val="none" w:sz="0" w:space="0" w:color="auto"/>
        <w:right w:val="none" w:sz="0" w:space="0" w:color="auto"/>
      </w:divBdr>
    </w:div>
    <w:div w:id="417482308">
      <w:bodyDiv w:val="1"/>
      <w:marLeft w:val="0"/>
      <w:marRight w:val="0"/>
      <w:marTop w:val="0"/>
      <w:marBottom w:val="0"/>
      <w:divBdr>
        <w:top w:val="none" w:sz="0" w:space="0" w:color="auto"/>
        <w:left w:val="none" w:sz="0" w:space="0" w:color="auto"/>
        <w:bottom w:val="none" w:sz="0" w:space="0" w:color="auto"/>
        <w:right w:val="none" w:sz="0" w:space="0" w:color="auto"/>
      </w:divBdr>
    </w:div>
    <w:div w:id="477264247">
      <w:bodyDiv w:val="1"/>
      <w:marLeft w:val="0"/>
      <w:marRight w:val="0"/>
      <w:marTop w:val="0"/>
      <w:marBottom w:val="0"/>
      <w:divBdr>
        <w:top w:val="none" w:sz="0" w:space="0" w:color="auto"/>
        <w:left w:val="none" w:sz="0" w:space="0" w:color="auto"/>
        <w:bottom w:val="none" w:sz="0" w:space="0" w:color="auto"/>
        <w:right w:val="none" w:sz="0" w:space="0" w:color="auto"/>
      </w:divBdr>
    </w:div>
    <w:div w:id="498426196">
      <w:bodyDiv w:val="1"/>
      <w:marLeft w:val="0"/>
      <w:marRight w:val="0"/>
      <w:marTop w:val="0"/>
      <w:marBottom w:val="0"/>
      <w:divBdr>
        <w:top w:val="none" w:sz="0" w:space="0" w:color="auto"/>
        <w:left w:val="none" w:sz="0" w:space="0" w:color="auto"/>
        <w:bottom w:val="none" w:sz="0" w:space="0" w:color="auto"/>
        <w:right w:val="none" w:sz="0" w:space="0" w:color="auto"/>
      </w:divBdr>
    </w:div>
    <w:div w:id="525288721">
      <w:bodyDiv w:val="1"/>
      <w:marLeft w:val="0"/>
      <w:marRight w:val="0"/>
      <w:marTop w:val="0"/>
      <w:marBottom w:val="0"/>
      <w:divBdr>
        <w:top w:val="none" w:sz="0" w:space="0" w:color="auto"/>
        <w:left w:val="none" w:sz="0" w:space="0" w:color="auto"/>
        <w:bottom w:val="none" w:sz="0" w:space="0" w:color="auto"/>
        <w:right w:val="none" w:sz="0" w:space="0" w:color="auto"/>
      </w:divBdr>
    </w:div>
    <w:div w:id="706880074">
      <w:bodyDiv w:val="1"/>
      <w:marLeft w:val="0"/>
      <w:marRight w:val="0"/>
      <w:marTop w:val="0"/>
      <w:marBottom w:val="0"/>
      <w:divBdr>
        <w:top w:val="none" w:sz="0" w:space="0" w:color="auto"/>
        <w:left w:val="none" w:sz="0" w:space="0" w:color="auto"/>
        <w:bottom w:val="none" w:sz="0" w:space="0" w:color="auto"/>
        <w:right w:val="none" w:sz="0" w:space="0" w:color="auto"/>
      </w:divBdr>
    </w:div>
    <w:div w:id="766343491">
      <w:bodyDiv w:val="1"/>
      <w:marLeft w:val="0"/>
      <w:marRight w:val="0"/>
      <w:marTop w:val="0"/>
      <w:marBottom w:val="0"/>
      <w:divBdr>
        <w:top w:val="none" w:sz="0" w:space="0" w:color="auto"/>
        <w:left w:val="none" w:sz="0" w:space="0" w:color="auto"/>
        <w:bottom w:val="none" w:sz="0" w:space="0" w:color="auto"/>
        <w:right w:val="none" w:sz="0" w:space="0" w:color="auto"/>
      </w:divBdr>
    </w:div>
    <w:div w:id="793910511">
      <w:bodyDiv w:val="1"/>
      <w:marLeft w:val="0"/>
      <w:marRight w:val="0"/>
      <w:marTop w:val="0"/>
      <w:marBottom w:val="0"/>
      <w:divBdr>
        <w:top w:val="none" w:sz="0" w:space="0" w:color="auto"/>
        <w:left w:val="none" w:sz="0" w:space="0" w:color="auto"/>
        <w:bottom w:val="none" w:sz="0" w:space="0" w:color="auto"/>
        <w:right w:val="none" w:sz="0" w:space="0" w:color="auto"/>
      </w:divBdr>
    </w:div>
    <w:div w:id="798957748">
      <w:bodyDiv w:val="1"/>
      <w:marLeft w:val="0"/>
      <w:marRight w:val="0"/>
      <w:marTop w:val="0"/>
      <w:marBottom w:val="0"/>
      <w:divBdr>
        <w:top w:val="none" w:sz="0" w:space="0" w:color="auto"/>
        <w:left w:val="none" w:sz="0" w:space="0" w:color="auto"/>
        <w:bottom w:val="none" w:sz="0" w:space="0" w:color="auto"/>
        <w:right w:val="none" w:sz="0" w:space="0" w:color="auto"/>
      </w:divBdr>
    </w:div>
    <w:div w:id="805899158">
      <w:bodyDiv w:val="1"/>
      <w:marLeft w:val="0"/>
      <w:marRight w:val="0"/>
      <w:marTop w:val="0"/>
      <w:marBottom w:val="0"/>
      <w:divBdr>
        <w:top w:val="none" w:sz="0" w:space="0" w:color="auto"/>
        <w:left w:val="none" w:sz="0" w:space="0" w:color="auto"/>
        <w:bottom w:val="none" w:sz="0" w:space="0" w:color="auto"/>
        <w:right w:val="none" w:sz="0" w:space="0" w:color="auto"/>
      </w:divBdr>
    </w:div>
    <w:div w:id="819034016">
      <w:bodyDiv w:val="1"/>
      <w:marLeft w:val="0"/>
      <w:marRight w:val="0"/>
      <w:marTop w:val="0"/>
      <w:marBottom w:val="0"/>
      <w:divBdr>
        <w:top w:val="none" w:sz="0" w:space="0" w:color="auto"/>
        <w:left w:val="none" w:sz="0" w:space="0" w:color="auto"/>
        <w:bottom w:val="none" w:sz="0" w:space="0" w:color="auto"/>
        <w:right w:val="none" w:sz="0" w:space="0" w:color="auto"/>
      </w:divBdr>
    </w:div>
    <w:div w:id="847863896">
      <w:bodyDiv w:val="1"/>
      <w:marLeft w:val="0"/>
      <w:marRight w:val="0"/>
      <w:marTop w:val="0"/>
      <w:marBottom w:val="0"/>
      <w:divBdr>
        <w:top w:val="none" w:sz="0" w:space="0" w:color="auto"/>
        <w:left w:val="none" w:sz="0" w:space="0" w:color="auto"/>
        <w:bottom w:val="none" w:sz="0" w:space="0" w:color="auto"/>
        <w:right w:val="none" w:sz="0" w:space="0" w:color="auto"/>
      </w:divBdr>
    </w:div>
    <w:div w:id="958991317">
      <w:bodyDiv w:val="1"/>
      <w:marLeft w:val="0"/>
      <w:marRight w:val="0"/>
      <w:marTop w:val="0"/>
      <w:marBottom w:val="0"/>
      <w:divBdr>
        <w:top w:val="none" w:sz="0" w:space="0" w:color="auto"/>
        <w:left w:val="none" w:sz="0" w:space="0" w:color="auto"/>
        <w:bottom w:val="none" w:sz="0" w:space="0" w:color="auto"/>
        <w:right w:val="none" w:sz="0" w:space="0" w:color="auto"/>
      </w:divBdr>
    </w:div>
    <w:div w:id="1074429738">
      <w:bodyDiv w:val="1"/>
      <w:marLeft w:val="0"/>
      <w:marRight w:val="0"/>
      <w:marTop w:val="0"/>
      <w:marBottom w:val="0"/>
      <w:divBdr>
        <w:top w:val="none" w:sz="0" w:space="0" w:color="auto"/>
        <w:left w:val="none" w:sz="0" w:space="0" w:color="auto"/>
        <w:bottom w:val="none" w:sz="0" w:space="0" w:color="auto"/>
        <w:right w:val="none" w:sz="0" w:space="0" w:color="auto"/>
      </w:divBdr>
    </w:div>
    <w:div w:id="1255287715">
      <w:bodyDiv w:val="1"/>
      <w:marLeft w:val="0"/>
      <w:marRight w:val="0"/>
      <w:marTop w:val="0"/>
      <w:marBottom w:val="0"/>
      <w:divBdr>
        <w:top w:val="none" w:sz="0" w:space="0" w:color="auto"/>
        <w:left w:val="none" w:sz="0" w:space="0" w:color="auto"/>
        <w:bottom w:val="none" w:sz="0" w:space="0" w:color="auto"/>
        <w:right w:val="none" w:sz="0" w:space="0" w:color="auto"/>
      </w:divBdr>
    </w:div>
    <w:div w:id="1264920335">
      <w:bodyDiv w:val="1"/>
      <w:marLeft w:val="0"/>
      <w:marRight w:val="0"/>
      <w:marTop w:val="0"/>
      <w:marBottom w:val="0"/>
      <w:divBdr>
        <w:top w:val="none" w:sz="0" w:space="0" w:color="auto"/>
        <w:left w:val="none" w:sz="0" w:space="0" w:color="auto"/>
        <w:bottom w:val="none" w:sz="0" w:space="0" w:color="auto"/>
        <w:right w:val="none" w:sz="0" w:space="0" w:color="auto"/>
      </w:divBdr>
    </w:div>
    <w:div w:id="1323779382">
      <w:bodyDiv w:val="1"/>
      <w:marLeft w:val="0"/>
      <w:marRight w:val="0"/>
      <w:marTop w:val="0"/>
      <w:marBottom w:val="0"/>
      <w:divBdr>
        <w:top w:val="none" w:sz="0" w:space="0" w:color="auto"/>
        <w:left w:val="none" w:sz="0" w:space="0" w:color="auto"/>
        <w:bottom w:val="none" w:sz="0" w:space="0" w:color="auto"/>
        <w:right w:val="none" w:sz="0" w:space="0" w:color="auto"/>
      </w:divBdr>
    </w:div>
    <w:div w:id="1390305458">
      <w:bodyDiv w:val="1"/>
      <w:marLeft w:val="0"/>
      <w:marRight w:val="0"/>
      <w:marTop w:val="0"/>
      <w:marBottom w:val="0"/>
      <w:divBdr>
        <w:top w:val="none" w:sz="0" w:space="0" w:color="auto"/>
        <w:left w:val="none" w:sz="0" w:space="0" w:color="auto"/>
        <w:bottom w:val="none" w:sz="0" w:space="0" w:color="auto"/>
        <w:right w:val="none" w:sz="0" w:space="0" w:color="auto"/>
      </w:divBdr>
    </w:div>
    <w:div w:id="1428118929">
      <w:bodyDiv w:val="1"/>
      <w:marLeft w:val="0"/>
      <w:marRight w:val="0"/>
      <w:marTop w:val="0"/>
      <w:marBottom w:val="0"/>
      <w:divBdr>
        <w:top w:val="none" w:sz="0" w:space="0" w:color="auto"/>
        <w:left w:val="none" w:sz="0" w:space="0" w:color="auto"/>
        <w:bottom w:val="none" w:sz="0" w:space="0" w:color="auto"/>
        <w:right w:val="none" w:sz="0" w:space="0" w:color="auto"/>
      </w:divBdr>
    </w:div>
    <w:div w:id="1430585681">
      <w:bodyDiv w:val="1"/>
      <w:marLeft w:val="0"/>
      <w:marRight w:val="0"/>
      <w:marTop w:val="0"/>
      <w:marBottom w:val="0"/>
      <w:divBdr>
        <w:top w:val="none" w:sz="0" w:space="0" w:color="auto"/>
        <w:left w:val="none" w:sz="0" w:space="0" w:color="auto"/>
        <w:bottom w:val="none" w:sz="0" w:space="0" w:color="auto"/>
        <w:right w:val="none" w:sz="0" w:space="0" w:color="auto"/>
      </w:divBdr>
    </w:div>
    <w:div w:id="1470393037">
      <w:bodyDiv w:val="1"/>
      <w:marLeft w:val="0"/>
      <w:marRight w:val="0"/>
      <w:marTop w:val="0"/>
      <w:marBottom w:val="0"/>
      <w:divBdr>
        <w:top w:val="none" w:sz="0" w:space="0" w:color="auto"/>
        <w:left w:val="none" w:sz="0" w:space="0" w:color="auto"/>
        <w:bottom w:val="none" w:sz="0" w:space="0" w:color="auto"/>
        <w:right w:val="none" w:sz="0" w:space="0" w:color="auto"/>
      </w:divBdr>
    </w:div>
    <w:div w:id="1507013901">
      <w:bodyDiv w:val="1"/>
      <w:marLeft w:val="0"/>
      <w:marRight w:val="0"/>
      <w:marTop w:val="0"/>
      <w:marBottom w:val="0"/>
      <w:divBdr>
        <w:top w:val="none" w:sz="0" w:space="0" w:color="auto"/>
        <w:left w:val="none" w:sz="0" w:space="0" w:color="auto"/>
        <w:bottom w:val="none" w:sz="0" w:space="0" w:color="auto"/>
        <w:right w:val="none" w:sz="0" w:space="0" w:color="auto"/>
      </w:divBdr>
    </w:div>
    <w:div w:id="1511020565">
      <w:bodyDiv w:val="1"/>
      <w:marLeft w:val="0"/>
      <w:marRight w:val="0"/>
      <w:marTop w:val="0"/>
      <w:marBottom w:val="0"/>
      <w:divBdr>
        <w:top w:val="none" w:sz="0" w:space="0" w:color="auto"/>
        <w:left w:val="none" w:sz="0" w:space="0" w:color="auto"/>
        <w:bottom w:val="none" w:sz="0" w:space="0" w:color="auto"/>
        <w:right w:val="none" w:sz="0" w:space="0" w:color="auto"/>
      </w:divBdr>
    </w:div>
    <w:div w:id="1513643401">
      <w:bodyDiv w:val="1"/>
      <w:marLeft w:val="0"/>
      <w:marRight w:val="0"/>
      <w:marTop w:val="0"/>
      <w:marBottom w:val="0"/>
      <w:divBdr>
        <w:top w:val="none" w:sz="0" w:space="0" w:color="auto"/>
        <w:left w:val="none" w:sz="0" w:space="0" w:color="auto"/>
        <w:bottom w:val="none" w:sz="0" w:space="0" w:color="auto"/>
        <w:right w:val="none" w:sz="0" w:space="0" w:color="auto"/>
      </w:divBdr>
    </w:div>
    <w:div w:id="1542397191">
      <w:bodyDiv w:val="1"/>
      <w:marLeft w:val="0"/>
      <w:marRight w:val="0"/>
      <w:marTop w:val="0"/>
      <w:marBottom w:val="0"/>
      <w:divBdr>
        <w:top w:val="none" w:sz="0" w:space="0" w:color="auto"/>
        <w:left w:val="none" w:sz="0" w:space="0" w:color="auto"/>
        <w:bottom w:val="none" w:sz="0" w:space="0" w:color="auto"/>
        <w:right w:val="none" w:sz="0" w:space="0" w:color="auto"/>
      </w:divBdr>
      <w:divsChild>
        <w:div w:id="563687970">
          <w:marLeft w:val="0"/>
          <w:marRight w:val="0"/>
          <w:marTop w:val="0"/>
          <w:marBottom w:val="0"/>
          <w:divBdr>
            <w:top w:val="none" w:sz="0" w:space="0" w:color="auto"/>
            <w:left w:val="none" w:sz="0" w:space="0" w:color="auto"/>
            <w:bottom w:val="none" w:sz="0" w:space="0" w:color="auto"/>
            <w:right w:val="none" w:sz="0" w:space="0" w:color="auto"/>
          </w:divBdr>
        </w:div>
      </w:divsChild>
    </w:div>
    <w:div w:id="1606688852">
      <w:bodyDiv w:val="1"/>
      <w:marLeft w:val="0"/>
      <w:marRight w:val="0"/>
      <w:marTop w:val="0"/>
      <w:marBottom w:val="0"/>
      <w:divBdr>
        <w:top w:val="none" w:sz="0" w:space="0" w:color="auto"/>
        <w:left w:val="none" w:sz="0" w:space="0" w:color="auto"/>
        <w:bottom w:val="none" w:sz="0" w:space="0" w:color="auto"/>
        <w:right w:val="none" w:sz="0" w:space="0" w:color="auto"/>
      </w:divBdr>
    </w:div>
    <w:div w:id="1661276906">
      <w:bodyDiv w:val="1"/>
      <w:marLeft w:val="0"/>
      <w:marRight w:val="0"/>
      <w:marTop w:val="0"/>
      <w:marBottom w:val="0"/>
      <w:divBdr>
        <w:top w:val="none" w:sz="0" w:space="0" w:color="auto"/>
        <w:left w:val="none" w:sz="0" w:space="0" w:color="auto"/>
        <w:bottom w:val="none" w:sz="0" w:space="0" w:color="auto"/>
        <w:right w:val="none" w:sz="0" w:space="0" w:color="auto"/>
      </w:divBdr>
      <w:divsChild>
        <w:div w:id="2082485194">
          <w:marLeft w:val="0"/>
          <w:marRight w:val="0"/>
          <w:marTop w:val="0"/>
          <w:marBottom w:val="0"/>
          <w:divBdr>
            <w:top w:val="none" w:sz="0" w:space="0" w:color="auto"/>
            <w:left w:val="none" w:sz="0" w:space="0" w:color="auto"/>
            <w:bottom w:val="none" w:sz="0" w:space="0" w:color="auto"/>
            <w:right w:val="none" w:sz="0" w:space="0" w:color="auto"/>
          </w:divBdr>
        </w:div>
      </w:divsChild>
    </w:div>
    <w:div w:id="1666855570">
      <w:bodyDiv w:val="1"/>
      <w:marLeft w:val="0"/>
      <w:marRight w:val="0"/>
      <w:marTop w:val="0"/>
      <w:marBottom w:val="0"/>
      <w:divBdr>
        <w:top w:val="none" w:sz="0" w:space="0" w:color="auto"/>
        <w:left w:val="none" w:sz="0" w:space="0" w:color="auto"/>
        <w:bottom w:val="none" w:sz="0" w:space="0" w:color="auto"/>
        <w:right w:val="none" w:sz="0" w:space="0" w:color="auto"/>
      </w:divBdr>
    </w:div>
    <w:div w:id="1668508841">
      <w:bodyDiv w:val="1"/>
      <w:marLeft w:val="0"/>
      <w:marRight w:val="0"/>
      <w:marTop w:val="0"/>
      <w:marBottom w:val="0"/>
      <w:divBdr>
        <w:top w:val="none" w:sz="0" w:space="0" w:color="auto"/>
        <w:left w:val="none" w:sz="0" w:space="0" w:color="auto"/>
        <w:bottom w:val="none" w:sz="0" w:space="0" w:color="auto"/>
        <w:right w:val="none" w:sz="0" w:space="0" w:color="auto"/>
      </w:divBdr>
    </w:div>
    <w:div w:id="1781608980">
      <w:bodyDiv w:val="1"/>
      <w:marLeft w:val="0"/>
      <w:marRight w:val="0"/>
      <w:marTop w:val="0"/>
      <w:marBottom w:val="0"/>
      <w:divBdr>
        <w:top w:val="none" w:sz="0" w:space="0" w:color="auto"/>
        <w:left w:val="none" w:sz="0" w:space="0" w:color="auto"/>
        <w:bottom w:val="none" w:sz="0" w:space="0" w:color="auto"/>
        <w:right w:val="none" w:sz="0" w:space="0" w:color="auto"/>
      </w:divBdr>
    </w:div>
    <w:div w:id="1784692321">
      <w:bodyDiv w:val="1"/>
      <w:marLeft w:val="0"/>
      <w:marRight w:val="0"/>
      <w:marTop w:val="0"/>
      <w:marBottom w:val="0"/>
      <w:divBdr>
        <w:top w:val="none" w:sz="0" w:space="0" w:color="auto"/>
        <w:left w:val="none" w:sz="0" w:space="0" w:color="auto"/>
        <w:bottom w:val="none" w:sz="0" w:space="0" w:color="auto"/>
        <w:right w:val="none" w:sz="0" w:space="0" w:color="auto"/>
      </w:divBdr>
    </w:div>
    <w:div w:id="1806387531">
      <w:bodyDiv w:val="1"/>
      <w:marLeft w:val="0"/>
      <w:marRight w:val="0"/>
      <w:marTop w:val="0"/>
      <w:marBottom w:val="0"/>
      <w:divBdr>
        <w:top w:val="none" w:sz="0" w:space="0" w:color="auto"/>
        <w:left w:val="none" w:sz="0" w:space="0" w:color="auto"/>
        <w:bottom w:val="none" w:sz="0" w:space="0" w:color="auto"/>
        <w:right w:val="none" w:sz="0" w:space="0" w:color="auto"/>
      </w:divBdr>
    </w:div>
    <w:div w:id="1874728348">
      <w:bodyDiv w:val="1"/>
      <w:marLeft w:val="0"/>
      <w:marRight w:val="0"/>
      <w:marTop w:val="0"/>
      <w:marBottom w:val="0"/>
      <w:divBdr>
        <w:top w:val="none" w:sz="0" w:space="0" w:color="auto"/>
        <w:left w:val="none" w:sz="0" w:space="0" w:color="auto"/>
        <w:bottom w:val="none" w:sz="0" w:space="0" w:color="auto"/>
        <w:right w:val="none" w:sz="0" w:space="0" w:color="auto"/>
      </w:divBdr>
    </w:div>
    <w:div w:id="1966814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Pictures\DEMETAL%20FOR%20SLEE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Pictures\DEMETAL%20FOR%20SLEE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Pictures\DEMETAL%20FOR%20SLEE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Pictures\DEMETAL%20FOR%20SLEE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Pictures\DEMETAL%20FOR%20SLEE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2"/>
  <c:chart>
    <c:title/>
    <c:plotArea>
      <c:layout/>
      <c:pieChart>
        <c:varyColors val="1"/>
        <c:ser>
          <c:idx val="0"/>
          <c:order val="0"/>
          <c:tx>
            <c:strRef>
              <c:f>Лист1!$L$4</c:f>
              <c:strCache>
                <c:ptCount val="1"/>
                <c:pt idx="0">
                  <c:v>Insomnia</c:v>
                </c:pt>
              </c:strCache>
            </c:strRef>
          </c:tx>
          <c:dLbls>
            <c:showCatName val="1"/>
            <c:showPercent val="1"/>
          </c:dLbls>
          <c:cat>
            <c:strRef>
              <c:f>Лист1!$M$3:$S$3</c:f>
              <c:strCache>
                <c:ptCount val="7"/>
                <c:pt idx="0">
                  <c:v>Insomnia</c:v>
                </c:pt>
                <c:pt idx="1">
                  <c:v>SDB</c:v>
                </c:pt>
                <c:pt idx="2">
                  <c:v>RLS</c:v>
                </c:pt>
                <c:pt idx="3">
                  <c:v>ESD</c:v>
                </c:pt>
                <c:pt idx="4">
                  <c:v>NGH</c:v>
                </c:pt>
                <c:pt idx="5">
                  <c:v>Hypersomnia</c:v>
                </c:pt>
                <c:pt idx="6">
                  <c:v>Environmental Factors</c:v>
                </c:pt>
              </c:strCache>
            </c:strRef>
          </c:cat>
          <c:val>
            <c:numRef>
              <c:f>Лист1!$M$4:$S$4</c:f>
              <c:numCache>
                <c:formatCode>General</c:formatCode>
                <c:ptCount val="7"/>
                <c:pt idx="0">
                  <c:v>0.14775160599571735</c:v>
                </c:pt>
                <c:pt idx="1">
                  <c:v>0.13918629550321199</c:v>
                </c:pt>
                <c:pt idx="2">
                  <c:v>9.6359743040685231E-2</c:v>
                </c:pt>
                <c:pt idx="3">
                  <c:v>0.21413276231263384</c:v>
                </c:pt>
                <c:pt idx="4">
                  <c:v>0.1070663811563172</c:v>
                </c:pt>
                <c:pt idx="5">
                  <c:v>0.15845824411135015</c:v>
                </c:pt>
                <c:pt idx="6">
                  <c:v>0.13704496788008574</c:v>
                </c:pt>
              </c:numCache>
            </c:numRef>
          </c:val>
        </c:ser>
        <c:ser>
          <c:idx val="1"/>
          <c:order val="1"/>
          <c:dLbls>
            <c:showCatName val="1"/>
            <c:showPercent val="1"/>
          </c:dLbls>
          <c:cat>
            <c:strRef>
              <c:f>Лист1!$M$3:$S$3</c:f>
              <c:strCache>
                <c:ptCount val="7"/>
                <c:pt idx="0">
                  <c:v>Insomnia</c:v>
                </c:pt>
                <c:pt idx="1">
                  <c:v>SDB</c:v>
                </c:pt>
                <c:pt idx="2">
                  <c:v>RLS</c:v>
                </c:pt>
                <c:pt idx="3">
                  <c:v>ESD</c:v>
                </c:pt>
                <c:pt idx="4">
                  <c:v>NGH</c:v>
                </c:pt>
                <c:pt idx="5">
                  <c:v>Hypersomnia</c:v>
                </c:pt>
                <c:pt idx="6">
                  <c:v>Environmental Factors</c:v>
                </c:pt>
              </c:strCache>
            </c:strRef>
          </c:cat>
          <c:val>
            <c:numRef>
              <c:f>Лист1!$M$5:$S$5</c:f>
              <c:numCache>
                <c:formatCode>General</c:formatCode>
                <c:ptCount val="7"/>
                <c:pt idx="0">
                  <c:v>0.14132762312633834</c:v>
                </c:pt>
                <c:pt idx="1">
                  <c:v>0.13704496788008574</c:v>
                </c:pt>
                <c:pt idx="2">
                  <c:v>8.993576017130675E-2</c:v>
                </c:pt>
                <c:pt idx="3">
                  <c:v>0.20985010706638121</c:v>
                </c:pt>
                <c:pt idx="4">
                  <c:v>9.4218415417558779E-2</c:v>
                </c:pt>
                <c:pt idx="5">
                  <c:v>0.1284796573875803</c:v>
                </c:pt>
                <c:pt idx="6">
                  <c:v>0.1498929336188437</c:v>
                </c:pt>
              </c:numCache>
            </c:numRef>
          </c:val>
        </c:ser>
        <c:ser>
          <c:idx val="2"/>
          <c:order val="2"/>
          <c:dLbls>
            <c:showCatName val="1"/>
            <c:showPercent val="1"/>
          </c:dLbls>
          <c:cat>
            <c:strRef>
              <c:f>Лист1!$M$3:$S$3</c:f>
              <c:strCache>
                <c:ptCount val="7"/>
                <c:pt idx="0">
                  <c:v>Insomnia</c:v>
                </c:pt>
                <c:pt idx="1">
                  <c:v>SDB</c:v>
                </c:pt>
                <c:pt idx="2">
                  <c:v>RLS</c:v>
                </c:pt>
                <c:pt idx="3">
                  <c:v>ESD</c:v>
                </c:pt>
                <c:pt idx="4">
                  <c:v>NGH</c:v>
                </c:pt>
                <c:pt idx="5">
                  <c:v>Hypersomnia</c:v>
                </c:pt>
                <c:pt idx="6">
                  <c:v>Environmental Factors</c:v>
                </c:pt>
              </c:strCache>
            </c:strRef>
          </c:cat>
          <c:val>
            <c:numRef>
              <c:f>Лист1!$M$6:$S$6</c:f>
              <c:numCache>
                <c:formatCode>General</c:formatCode>
                <c:ptCount val="7"/>
                <c:pt idx="0">
                  <c:v>0.13490364025695931</c:v>
                </c:pt>
                <c:pt idx="1">
                  <c:v>0.14132762312633834</c:v>
                </c:pt>
                <c:pt idx="2">
                  <c:v>7.0663811563169171E-2</c:v>
                </c:pt>
                <c:pt idx="3">
                  <c:v>0.13918629550321199</c:v>
                </c:pt>
                <c:pt idx="4">
                  <c:v>8.137044967880086E-2</c:v>
                </c:pt>
                <c:pt idx="5">
                  <c:v>0.11777301927194876</c:v>
                </c:pt>
                <c:pt idx="6">
                  <c:v>0.13704496788008574</c:v>
                </c:pt>
              </c:numCache>
            </c:numRef>
          </c:val>
        </c:ser>
        <c:ser>
          <c:idx val="3"/>
          <c:order val="3"/>
          <c:dLbls>
            <c:showCatName val="1"/>
            <c:showPercent val="1"/>
          </c:dLbls>
          <c:cat>
            <c:strRef>
              <c:f>Лист1!$M$3:$S$3</c:f>
              <c:strCache>
                <c:ptCount val="7"/>
                <c:pt idx="0">
                  <c:v>Insomnia</c:v>
                </c:pt>
                <c:pt idx="1">
                  <c:v>SDB</c:v>
                </c:pt>
                <c:pt idx="2">
                  <c:v>RLS</c:v>
                </c:pt>
                <c:pt idx="3">
                  <c:v>ESD</c:v>
                </c:pt>
                <c:pt idx="4">
                  <c:v>NGH</c:v>
                </c:pt>
                <c:pt idx="5">
                  <c:v>Hypersomnia</c:v>
                </c:pt>
                <c:pt idx="6">
                  <c:v>Environmental Factors</c:v>
                </c:pt>
              </c:strCache>
            </c:strRef>
          </c:cat>
          <c:val>
            <c:numRef>
              <c:f>Лист1!$M$7:$S$7</c:f>
              <c:numCache>
                <c:formatCode>General</c:formatCode>
                <c:ptCount val="7"/>
                <c:pt idx="0">
                  <c:v>8.993576017130675E-2</c:v>
                </c:pt>
                <c:pt idx="1">
                  <c:v>9.2077087794432563E-2</c:v>
                </c:pt>
                <c:pt idx="2">
                  <c:v>8.137044967880086E-2</c:v>
                </c:pt>
                <c:pt idx="3">
                  <c:v>8.137044967880086E-2</c:v>
                </c:pt>
                <c:pt idx="4">
                  <c:v>5.1391862955032133E-2</c:v>
                </c:pt>
                <c:pt idx="5">
                  <c:v>8.993576017130675E-2</c:v>
                </c:pt>
                <c:pt idx="6">
                  <c:v>0.13490364025695931</c:v>
                </c:pt>
              </c:numCache>
            </c:numRef>
          </c:val>
        </c:ser>
        <c:ser>
          <c:idx val="4"/>
          <c:order val="4"/>
          <c:dLbls>
            <c:showCatName val="1"/>
            <c:showPercent val="1"/>
          </c:dLbls>
          <c:cat>
            <c:strRef>
              <c:f>Лист1!$M$3:$S$3</c:f>
              <c:strCache>
                <c:ptCount val="7"/>
                <c:pt idx="0">
                  <c:v>Insomnia</c:v>
                </c:pt>
                <c:pt idx="1">
                  <c:v>SDB</c:v>
                </c:pt>
                <c:pt idx="2">
                  <c:v>RLS</c:v>
                </c:pt>
                <c:pt idx="3">
                  <c:v>ESD</c:v>
                </c:pt>
                <c:pt idx="4">
                  <c:v>NGH</c:v>
                </c:pt>
                <c:pt idx="5">
                  <c:v>Hypersomnia</c:v>
                </c:pt>
                <c:pt idx="6">
                  <c:v>Environmental Factors</c:v>
                </c:pt>
              </c:strCache>
            </c:strRef>
          </c:cat>
          <c:val>
            <c:numRef>
              <c:f>Лист1!$M$8:$S$8</c:f>
              <c:numCache>
                <c:formatCode>General</c:formatCode>
                <c:ptCount val="7"/>
                <c:pt idx="0">
                  <c:v>8.3511777301927201E-2</c:v>
                </c:pt>
                <c:pt idx="1">
                  <c:v>8.5653104925053763E-2</c:v>
                </c:pt>
                <c:pt idx="2">
                  <c:v>5.1391862955032133E-2</c:v>
                </c:pt>
                <c:pt idx="3">
                  <c:v>6.4239828693790149E-2</c:v>
                </c:pt>
                <c:pt idx="4">
                  <c:v>4.4967880085653104E-2</c:v>
                </c:pt>
                <c:pt idx="5">
                  <c:v>8.3511777301927201E-2</c:v>
                </c:pt>
                <c:pt idx="6">
                  <c:v>9.6359743040685231E-2</c:v>
                </c:pt>
              </c:numCache>
            </c:numRef>
          </c:val>
        </c:ser>
        <c:ser>
          <c:idx val="5"/>
          <c:order val="5"/>
          <c:dLbls>
            <c:showCatName val="1"/>
            <c:showPercent val="1"/>
          </c:dLbls>
          <c:cat>
            <c:strRef>
              <c:f>Лист1!$M$3:$S$3</c:f>
              <c:strCache>
                <c:ptCount val="7"/>
                <c:pt idx="0">
                  <c:v>Insomnia</c:v>
                </c:pt>
                <c:pt idx="1">
                  <c:v>SDB</c:v>
                </c:pt>
                <c:pt idx="2">
                  <c:v>RLS</c:v>
                </c:pt>
                <c:pt idx="3">
                  <c:v>ESD</c:v>
                </c:pt>
                <c:pt idx="4">
                  <c:v>NGH</c:v>
                </c:pt>
                <c:pt idx="5">
                  <c:v>Hypersomnia</c:v>
                </c:pt>
                <c:pt idx="6">
                  <c:v>Environmental Factors</c:v>
                </c:pt>
              </c:strCache>
            </c:strRef>
          </c:cat>
          <c:val>
            <c:numRef>
              <c:f>Лист1!$M$9:$S$9</c:f>
              <c:numCache>
                <c:formatCode>General</c:formatCode>
                <c:ptCount val="7"/>
                <c:pt idx="0">
                  <c:v>6.2098501070663968E-2</c:v>
                </c:pt>
                <c:pt idx="1">
                  <c:v>7.0663811563169171E-2</c:v>
                </c:pt>
                <c:pt idx="2">
                  <c:v>4.4967880085653104E-2</c:v>
                </c:pt>
                <c:pt idx="3">
                  <c:v>5.3533190578158467E-2</c:v>
                </c:pt>
                <c:pt idx="4">
                  <c:v>3.2119914346895082E-2</c:v>
                </c:pt>
                <c:pt idx="5">
                  <c:v>5.9957173447537586E-2</c:v>
                </c:pt>
                <c:pt idx="6">
                  <c:v>4.9250535331905813E-2</c:v>
                </c:pt>
              </c:numCache>
            </c:numRef>
          </c:val>
        </c:ser>
        <c:ser>
          <c:idx val="6"/>
          <c:order val="6"/>
          <c:dLbls>
            <c:showCatName val="1"/>
            <c:showPercent val="1"/>
          </c:dLbls>
          <c:cat>
            <c:strRef>
              <c:f>Лист1!$M$3:$S$3</c:f>
              <c:strCache>
                <c:ptCount val="7"/>
                <c:pt idx="0">
                  <c:v>Insomnia</c:v>
                </c:pt>
                <c:pt idx="1">
                  <c:v>SDB</c:v>
                </c:pt>
                <c:pt idx="2">
                  <c:v>RLS</c:v>
                </c:pt>
                <c:pt idx="3">
                  <c:v>ESD</c:v>
                </c:pt>
                <c:pt idx="4">
                  <c:v>NGH</c:v>
                </c:pt>
                <c:pt idx="5">
                  <c:v>Hypersomnia</c:v>
                </c:pt>
                <c:pt idx="6">
                  <c:v>Environmental Factors</c:v>
                </c:pt>
              </c:strCache>
            </c:strRef>
          </c:cat>
          <c:val>
            <c:numRef>
              <c:f>Лист1!$M$10:$S$10</c:f>
              <c:numCache>
                <c:formatCode>General</c:formatCode>
                <c:ptCount val="7"/>
                <c:pt idx="0">
                  <c:v>4.0685224839400604E-2</c:v>
                </c:pt>
                <c:pt idx="1">
                  <c:v>4.2826552462526812E-2</c:v>
                </c:pt>
                <c:pt idx="2">
                  <c:v>3.8543897216274263E-2</c:v>
                </c:pt>
                <c:pt idx="3">
                  <c:v>2.5695931477516244E-2</c:v>
                </c:pt>
                <c:pt idx="4">
                  <c:v>2.1413276231263493E-2</c:v>
                </c:pt>
                <c:pt idx="5">
                  <c:v>3.4261241970021533E-2</c:v>
                </c:pt>
                <c:pt idx="6">
                  <c:v>2.1413276231263493E-2</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a:pPr>
            <a:r>
              <a:rPr lang="en-US"/>
              <a:t>calculate the total relation matrix </a:t>
            </a:r>
          </a:p>
        </c:rich>
      </c:tx>
    </c:title>
    <c:view3D>
      <c:rAngAx val="1"/>
    </c:view3D>
    <c:plotArea>
      <c:layout/>
      <c:bar3DChart>
        <c:barDir val="col"/>
        <c:grouping val="clustered"/>
        <c:ser>
          <c:idx val="0"/>
          <c:order val="0"/>
          <c:cat>
            <c:strRef>
              <c:f>Лист1!$V$3:$AB$3</c:f>
              <c:strCache>
                <c:ptCount val="7"/>
                <c:pt idx="0">
                  <c:v>Insomnia</c:v>
                </c:pt>
                <c:pt idx="1">
                  <c:v>SDB</c:v>
                </c:pt>
                <c:pt idx="2">
                  <c:v>RLS</c:v>
                </c:pt>
                <c:pt idx="3">
                  <c:v>ESD</c:v>
                </c:pt>
                <c:pt idx="4">
                  <c:v>NGH</c:v>
                </c:pt>
                <c:pt idx="5">
                  <c:v>Hypersomnia</c:v>
                </c:pt>
                <c:pt idx="6">
                  <c:v>Environmental Factors</c:v>
                </c:pt>
              </c:strCache>
            </c:strRef>
          </c:cat>
          <c:val>
            <c:numRef>
              <c:f>Лист1!$V$4:$AB$4</c:f>
              <c:numCache>
                <c:formatCode>General</c:formatCode>
                <c:ptCount val="7"/>
                <c:pt idx="0">
                  <c:v>0.14775160599571735</c:v>
                </c:pt>
                <c:pt idx="1">
                  <c:v>0.13918629550321199</c:v>
                </c:pt>
                <c:pt idx="2">
                  <c:v>9.6359743040685231E-2</c:v>
                </c:pt>
                <c:pt idx="3">
                  <c:v>0.21413276231263384</c:v>
                </c:pt>
                <c:pt idx="4">
                  <c:v>0.1070663811563172</c:v>
                </c:pt>
                <c:pt idx="5">
                  <c:v>0.15845824411135015</c:v>
                </c:pt>
                <c:pt idx="6">
                  <c:v>0.13704496788008574</c:v>
                </c:pt>
              </c:numCache>
            </c:numRef>
          </c:val>
        </c:ser>
        <c:ser>
          <c:idx val="1"/>
          <c:order val="1"/>
          <c:cat>
            <c:strRef>
              <c:f>Лист1!$V$3:$AB$3</c:f>
              <c:strCache>
                <c:ptCount val="7"/>
                <c:pt idx="0">
                  <c:v>Insomnia</c:v>
                </c:pt>
                <c:pt idx="1">
                  <c:v>SDB</c:v>
                </c:pt>
                <c:pt idx="2">
                  <c:v>RLS</c:v>
                </c:pt>
                <c:pt idx="3">
                  <c:v>ESD</c:v>
                </c:pt>
                <c:pt idx="4">
                  <c:v>NGH</c:v>
                </c:pt>
                <c:pt idx="5">
                  <c:v>Hypersomnia</c:v>
                </c:pt>
                <c:pt idx="6">
                  <c:v>Environmental Factors</c:v>
                </c:pt>
              </c:strCache>
            </c:strRef>
          </c:cat>
          <c:val>
            <c:numRef>
              <c:f>Лист1!$V$5:$AB$5</c:f>
              <c:numCache>
                <c:formatCode>General</c:formatCode>
                <c:ptCount val="7"/>
                <c:pt idx="0">
                  <c:v>0.14132762312633834</c:v>
                </c:pt>
                <c:pt idx="1">
                  <c:v>0.13704496788008574</c:v>
                </c:pt>
                <c:pt idx="2">
                  <c:v>8.9935760171306722E-2</c:v>
                </c:pt>
                <c:pt idx="3">
                  <c:v>0.20985010706638121</c:v>
                </c:pt>
                <c:pt idx="4">
                  <c:v>9.4218415417558779E-2</c:v>
                </c:pt>
                <c:pt idx="5">
                  <c:v>0.1284796573875803</c:v>
                </c:pt>
                <c:pt idx="6">
                  <c:v>0.1498929336188437</c:v>
                </c:pt>
              </c:numCache>
            </c:numRef>
          </c:val>
        </c:ser>
        <c:ser>
          <c:idx val="2"/>
          <c:order val="2"/>
          <c:cat>
            <c:strRef>
              <c:f>Лист1!$V$3:$AB$3</c:f>
              <c:strCache>
                <c:ptCount val="7"/>
                <c:pt idx="0">
                  <c:v>Insomnia</c:v>
                </c:pt>
                <c:pt idx="1">
                  <c:v>SDB</c:v>
                </c:pt>
                <c:pt idx="2">
                  <c:v>RLS</c:v>
                </c:pt>
                <c:pt idx="3">
                  <c:v>ESD</c:v>
                </c:pt>
                <c:pt idx="4">
                  <c:v>NGH</c:v>
                </c:pt>
                <c:pt idx="5">
                  <c:v>Hypersomnia</c:v>
                </c:pt>
                <c:pt idx="6">
                  <c:v>Environmental Factors</c:v>
                </c:pt>
              </c:strCache>
            </c:strRef>
          </c:cat>
          <c:val>
            <c:numRef>
              <c:f>Лист1!$V$6:$AB$6</c:f>
              <c:numCache>
                <c:formatCode>General</c:formatCode>
                <c:ptCount val="7"/>
                <c:pt idx="0">
                  <c:v>0.13490364025695931</c:v>
                </c:pt>
                <c:pt idx="1">
                  <c:v>0.14132762312633834</c:v>
                </c:pt>
                <c:pt idx="2">
                  <c:v>7.0663811563169171E-2</c:v>
                </c:pt>
                <c:pt idx="3">
                  <c:v>0.13918629550321199</c:v>
                </c:pt>
                <c:pt idx="4">
                  <c:v>8.137044967880086E-2</c:v>
                </c:pt>
                <c:pt idx="5">
                  <c:v>0.11777301927194862</c:v>
                </c:pt>
                <c:pt idx="6">
                  <c:v>0.13704496788008574</c:v>
                </c:pt>
              </c:numCache>
            </c:numRef>
          </c:val>
        </c:ser>
        <c:ser>
          <c:idx val="3"/>
          <c:order val="3"/>
          <c:cat>
            <c:strRef>
              <c:f>Лист1!$V$3:$AB$3</c:f>
              <c:strCache>
                <c:ptCount val="7"/>
                <c:pt idx="0">
                  <c:v>Insomnia</c:v>
                </c:pt>
                <c:pt idx="1">
                  <c:v>SDB</c:v>
                </c:pt>
                <c:pt idx="2">
                  <c:v>RLS</c:v>
                </c:pt>
                <c:pt idx="3">
                  <c:v>ESD</c:v>
                </c:pt>
                <c:pt idx="4">
                  <c:v>NGH</c:v>
                </c:pt>
                <c:pt idx="5">
                  <c:v>Hypersomnia</c:v>
                </c:pt>
                <c:pt idx="6">
                  <c:v>Environmental Factors</c:v>
                </c:pt>
              </c:strCache>
            </c:strRef>
          </c:cat>
          <c:val>
            <c:numRef>
              <c:f>Лист1!$V$7:$AB$7</c:f>
              <c:numCache>
                <c:formatCode>General</c:formatCode>
                <c:ptCount val="7"/>
                <c:pt idx="0">
                  <c:v>8.9935760171306722E-2</c:v>
                </c:pt>
                <c:pt idx="1">
                  <c:v>9.2077087794432563E-2</c:v>
                </c:pt>
                <c:pt idx="2">
                  <c:v>8.137044967880086E-2</c:v>
                </c:pt>
                <c:pt idx="3">
                  <c:v>8.137044967880086E-2</c:v>
                </c:pt>
                <c:pt idx="4">
                  <c:v>5.1391862955032133E-2</c:v>
                </c:pt>
                <c:pt idx="5">
                  <c:v>8.9935760171306722E-2</c:v>
                </c:pt>
                <c:pt idx="6">
                  <c:v>0.13490364025695931</c:v>
                </c:pt>
              </c:numCache>
            </c:numRef>
          </c:val>
        </c:ser>
        <c:ser>
          <c:idx val="4"/>
          <c:order val="4"/>
          <c:cat>
            <c:strRef>
              <c:f>Лист1!$V$3:$AB$3</c:f>
              <c:strCache>
                <c:ptCount val="7"/>
                <c:pt idx="0">
                  <c:v>Insomnia</c:v>
                </c:pt>
                <c:pt idx="1">
                  <c:v>SDB</c:v>
                </c:pt>
                <c:pt idx="2">
                  <c:v>RLS</c:v>
                </c:pt>
                <c:pt idx="3">
                  <c:v>ESD</c:v>
                </c:pt>
                <c:pt idx="4">
                  <c:v>NGH</c:v>
                </c:pt>
                <c:pt idx="5">
                  <c:v>Hypersomnia</c:v>
                </c:pt>
                <c:pt idx="6">
                  <c:v>Environmental Factors</c:v>
                </c:pt>
              </c:strCache>
            </c:strRef>
          </c:cat>
          <c:val>
            <c:numRef>
              <c:f>Лист1!$V$8:$AB$8</c:f>
              <c:numCache>
                <c:formatCode>General</c:formatCode>
                <c:ptCount val="7"/>
                <c:pt idx="0">
                  <c:v>8.3511777301927201E-2</c:v>
                </c:pt>
                <c:pt idx="1">
                  <c:v>8.5653104925053528E-2</c:v>
                </c:pt>
                <c:pt idx="2">
                  <c:v>5.1391862955032133E-2</c:v>
                </c:pt>
                <c:pt idx="3">
                  <c:v>6.4239828693790149E-2</c:v>
                </c:pt>
                <c:pt idx="4">
                  <c:v>4.4967880085653104E-2</c:v>
                </c:pt>
                <c:pt idx="5">
                  <c:v>8.3511777301927201E-2</c:v>
                </c:pt>
                <c:pt idx="6">
                  <c:v>9.6359743040685231E-2</c:v>
                </c:pt>
              </c:numCache>
            </c:numRef>
          </c:val>
        </c:ser>
        <c:ser>
          <c:idx val="5"/>
          <c:order val="5"/>
          <c:cat>
            <c:strRef>
              <c:f>Лист1!$V$3:$AB$3</c:f>
              <c:strCache>
                <c:ptCount val="7"/>
                <c:pt idx="0">
                  <c:v>Insomnia</c:v>
                </c:pt>
                <c:pt idx="1">
                  <c:v>SDB</c:v>
                </c:pt>
                <c:pt idx="2">
                  <c:v>RLS</c:v>
                </c:pt>
                <c:pt idx="3">
                  <c:v>ESD</c:v>
                </c:pt>
                <c:pt idx="4">
                  <c:v>NGH</c:v>
                </c:pt>
                <c:pt idx="5">
                  <c:v>Hypersomnia</c:v>
                </c:pt>
                <c:pt idx="6">
                  <c:v>Environmental Factors</c:v>
                </c:pt>
              </c:strCache>
            </c:strRef>
          </c:cat>
          <c:val>
            <c:numRef>
              <c:f>Лист1!$V$9:$AB$9</c:f>
              <c:numCache>
                <c:formatCode>General</c:formatCode>
                <c:ptCount val="7"/>
                <c:pt idx="0">
                  <c:v>6.2098501070663822E-2</c:v>
                </c:pt>
                <c:pt idx="1">
                  <c:v>7.0663811563169171E-2</c:v>
                </c:pt>
                <c:pt idx="2">
                  <c:v>4.4967880085653104E-2</c:v>
                </c:pt>
                <c:pt idx="3">
                  <c:v>5.353319057815846E-2</c:v>
                </c:pt>
                <c:pt idx="4">
                  <c:v>3.2119914346895075E-2</c:v>
                </c:pt>
                <c:pt idx="5">
                  <c:v>5.9957173447537523E-2</c:v>
                </c:pt>
                <c:pt idx="6">
                  <c:v>4.9250535331905793E-2</c:v>
                </c:pt>
              </c:numCache>
            </c:numRef>
          </c:val>
        </c:ser>
        <c:ser>
          <c:idx val="6"/>
          <c:order val="6"/>
          <c:cat>
            <c:strRef>
              <c:f>Лист1!$V$3:$AB$3</c:f>
              <c:strCache>
                <c:ptCount val="7"/>
                <c:pt idx="0">
                  <c:v>Insomnia</c:v>
                </c:pt>
                <c:pt idx="1">
                  <c:v>SDB</c:v>
                </c:pt>
                <c:pt idx="2">
                  <c:v>RLS</c:v>
                </c:pt>
                <c:pt idx="3">
                  <c:v>ESD</c:v>
                </c:pt>
                <c:pt idx="4">
                  <c:v>NGH</c:v>
                </c:pt>
                <c:pt idx="5">
                  <c:v>Hypersomnia</c:v>
                </c:pt>
                <c:pt idx="6">
                  <c:v>Environmental Factors</c:v>
                </c:pt>
              </c:strCache>
            </c:strRef>
          </c:cat>
          <c:val>
            <c:numRef>
              <c:f>Лист1!$V$10:$AB$10</c:f>
              <c:numCache>
                <c:formatCode>General</c:formatCode>
                <c:ptCount val="7"/>
                <c:pt idx="0">
                  <c:v>4.0685224839400534E-2</c:v>
                </c:pt>
                <c:pt idx="1">
                  <c:v>4.2826552462526764E-2</c:v>
                </c:pt>
                <c:pt idx="2">
                  <c:v>3.8543897216274249E-2</c:v>
                </c:pt>
                <c:pt idx="3">
                  <c:v>2.5695931477516233E-2</c:v>
                </c:pt>
                <c:pt idx="4">
                  <c:v>2.1413276231263486E-2</c:v>
                </c:pt>
                <c:pt idx="5">
                  <c:v>3.4261241970021415E-2</c:v>
                </c:pt>
                <c:pt idx="6">
                  <c:v>2.1413276231263486E-2</c:v>
                </c:pt>
              </c:numCache>
            </c:numRef>
          </c:val>
        </c:ser>
        <c:shape val="box"/>
        <c:axId val="97032832"/>
        <c:axId val="102613376"/>
        <c:axId val="0"/>
      </c:bar3DChart>
      <c:catAx>
        <c:axId val="97032832"/>
        <c:scaling>
          <c:orientation val="minMax"/>
        </c:scaling>
        <c:axPos val="b"/>
        <c:majorTickMark val="none"/>
        <c:tickLblPos val="nextTo"/>
        <c:crossAx val="102613376"/>
        <c:crosses val="autoZero"/>
        <c:auto val="1"/>
        <c:lblAlgn val="ctr"/>
        <c:lblOffset val="100"/>
      </c:catAx>
      <c:valAx>
        <c:axId val="102613376"/>
        <c:scaling>
          <c:orientation val="minMax"/>
        </c:scaling>
        <c:axPos val="l"/>
        <c:majorGridlines/>
        <c:numFmt formatCode="General" sourceLinked="1"/>
        <c:majorTickMark val="none"/>
        <c:tickLblPos val="nextTo"/>
        <c:crossAx val="9703283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a:pPr>
            <a:r>
              <a:rPr lang="en-US"/>
              <a:t>Total relation matrix (T)</a:t>
            </a:r>
          </a:p>
          <a:p>
            <a:pPr>
              <a:defRPr/>
            </a:pPr>
            <a:endParaRPr lang="en-US"/>
          </a:p>
        </c:rich>
      </c:tx>
      <c:layout>
        <c:manualLayout>
          <c:xMode val="edge"/>
          <c:yMode val="edge"/>
          <c:x val="0.25525699912510935"/>
          <c:y val="3.7037037037037056E-2"/>
        </c:manualLayout>
      </c:layout>
    </c:title>
    <c:view3D>
      <c:rAngAx val="1"/>
    </c:view3D>
    <c:plotArea>
      <c:layout/>
      <c:bar3DChart>
        <c:barDir val="col"/>
        <c:grouping val="clustered"/>
        <c:ser>
          <c:idx val="0"/>
          <c:order val="0"/>
          <c:val>
            <c:numRef>
              <c:f>Лист1!$AT$25:$BA$25</c:f>
              <c:numCache>
                <c:formatCode>General</c:formatCode>
                <c:ptCount val="8"/>
                <c:pt idx="0">
                  <c:v>0.3696474729107313</c:v>
                </c:pt>
                <c:pt idx="1">
                  <c:v>0.36250335981754267</c:v>
                </c:pt>
                <c:pt idx="2">
                  <c:v>0.2465755008089327</c:v>
                </c:pt>
                <c:pt idx="3">
                  <c:v>0.47585712125679308</c:v>
                </c:pt>
                <c:pt idx="4">
                  <c:v>0.24640142469765949</c:v>
                </c:pt>
                <c:pt idx="5">
                  <c:v>0.37524133948104604</c:v>
                </c:pt>
                <c:pt idx="6">
                  <c:v>-9.5654609547044883E-2</c:v>
                </c:pt>
                <c:pt idx="7">
                  <c:v>1.98057160942566</c:v>
                </c:pt>
              </c:numCache>
            </c:numRef>
          </c:val>
        </c:ser>
        <c:ser>
          <c:idx val="1"/>
          <c:order val="1"/>
          <c:val>
            <c:numRef>
              <c:f>Лист1!$AT$26:$BA$26</c:f>
              <c:numCache>
                <c:formatCode>General</c:formatCode>
                <c:ptCount val="8"/>
                <c:pt idx="0">
                  <c:v>0.35158584657356556</c:v>
                </c:pt>
                <c:pt idx="1">
                  <c:v>0.3484523391698009</c:v>
                </c:pt>
                <c:pt idx="2">
                  <c:v>0.23252988613280623</c:v>
                </c:pt>
                <c:pt idx="3">
                  <c:v>0.45833649685977745</c:v>
                </c:pt>
                <c:pt idx="4">
                  <c:v>0.22640676516495681</c:v>
                </c:pt>
                <c:pt idx="5">
                  <c:v>0.33382645811115486</c:v>
                </c:pt>
                <c:pt idx="6">
                  <c:v>-7.7738645792727323E-2</c:v>
                </c:pt>
                <c:pt idx="7">
                  <c:v>1.8733991462193298</c:v>
                </c:pt>
              </c:numCache>
            </c:numRef>
          </c:val>
        </c:ser>
        <c:ser>
          <c:idx val="2"/>
          <c:order val="2"/>
          <c:val>
            <c:numRef>
              <c:f>Лист1!$AT$27:$BA$27</c:f>
              <c:numCache>
                <c:formatCode>General</c:formatCode>
                <c:ptCount val="8"/>
                <c:pt idx="0">
                  <c:v>0.3232985045468823</c:v>
                </c:pt>
                <c:pt idx="1">
                  <c:v>0.33055056105918468</c:v>
                </c:pt>
                <c:pt idx="2">
                  <c:v>0.19807579695285868</c:v>
                </c:pt>
                <c:pt idx="3">
                  <c:v>0.36332862207519606</c:v>
                </c:pt>
                <c:pt idx="4">
                  <c:v>0.20011663863465387</c:v>
                </c:pt>
                <c:pt idx="5">
                  <c:v>0.30148900386887439</c:v>
                </c:pt>
                <c:pt idx="6">
                  <c:v>-2.2623135493893016E-2</c:v>
                </c:pt>
                <c:pt idx="7">
                  <c:v>1.6942359916437595</c:v>
                </c:pt>
              </c:numCache>
            </c:numRef>
          </c:val>
        </c:ser>
        <c:ser>
          <c:idx val="3"/>
          <c:order val="3"/>
          <c:val>
            <c:numRef>
              <c:f>Лист1!$AT$28:$BA$28</c:f>
              <c:numCache>
                <c:formatCode>General</c:formatCode>
                <c:ptCount val="8"/>
                <c:pt idx="0">
                  <c:v>0.22979176813764793</c:v>
                </c:pt>
                <c:pt idx="1">
                  <c:v>0.23293322220784926</c:v>
                </c:pt>
                <c:pt idx="2">
                  <c:v>0.17564137450011241</c:v>
                </c:pt>
                <c:pt idx="3">
                  <c:v>0.24590400682533625</c:v>
                </c:pt>
                <c:pt idx="4">
                  <c:v>0.1391870032528145</c:v>
                </c:pt>
                <c:pt idx="5">
                  <c:v>0.22552357879211918</c:v>
                </c:pt>
                <c:pt idx="6">
                  <c:v>3.7983119003339463E-2</c:v>
                </c:pt>
                <c:pt idx="7">
                  <c:v>1.2869640727192178</c:v>
                </c:pt>
              </c:numCache>
            </c:numRef>
          </c:val>
        </c:ser>
        <c:ser>
          <c:idx val="4"/>
          <c:order val="4"/>
          <c:val>
            <c:numRef>
              <c:f>Лист1!$AT$29:$BA$29</c:f>
              <c:numCache>
                <c:formatCode>General</c:formatCode>
                <c:ptCount val="8"/>
                <c:pt idx="0">
                  <c:v>0.20073754942898075</c:v>
                </c:pt>
                <c:pt idx="1">
                  <c:v>0.20354570758398471</c:v>
                </c:pt>
                <c:pt idx="2">
                  <c:v>0.13048069810137344</c:v>
                </c:pt>
                <c:pt idx="3">
                  <c:v>0.20330619018174351</c:v>
                </c:pt>
                <c:pt idx="4">
                  <c:v>0.11877210276975271</c:v>
                </c:pt>
                <c:pt idx="5">
                  <c:v>0.19749826808798063</c:v>
                </c:pt>
                <c:pt idx="6">
                  <c:v>1.7938011663150663E-2</c:v>
                </c:pt>
                <c:pt idx="7">
                  <c:v>1.0722785278169691</c:v>
                </c:pt>
              </c:numCache>
            </c:numRef>
          </c:val>
        </c:ser>
        <c:ser>
          <c:idx val="5"/>
          <c:order val="5"/>
          <c:val>
            <c:numRef>
              <c:f>Лист1!$AT$30:$BA$30</c:f>
              <c:numCache>
                <c:formatCode>General</c:formatCode>
                <c:ptCount val="8"/>
                <c:pt idx="0">
                  <c:v>0.15186965517201079</c:v>
                </c:pt>
                <c:pt idx="1">
                  <c:v>0.16088445320046321</c:v>
                </c:pt>
                <c:pt idx="2">
                  <c:v>0.10519022637300889</c:v>
                </c:pt>
                <c:pt idx="3">
                  <c:v>0.16073605237900729</c:v>
                </c:pt>
                <c:pt idx="4">
                  <c:v>8.8759107811845497E-2</c:v>
                </c:pt>
                <c:pt idx="5">
                  <c:v>0.14726616581097049</c:v>
                </c:pt>
                <c:pt idx="6">
                  <c:v>-1.4972296177286539E-2</c:v>
                </c:pt>
                <c:pt idx="7">
                  <c:v>0.79973336457001754</c:v>
                </c:pt>
              </c:numCache>
            </c:numRef>
          </c:val>
        </c:ser>
        <c:ser>
          <c:idx val="6"/>
          <c:order val="6"/>
          <c:val>
            <c:numRef>
              <c:f>Лист1!$AT$31:$BA$31</c:f>
              <c:numCache>
                <c:formatCode>General</c:formatCode>
                <c:ptCount val="8"/>
                <c:pt idx="0">
                  <c:v>9.8228535593418084E-2</c:v>
                </c:pt>
                <c:pt idx="1">
                  <c:v>0.10066381175380812</c:v>
                </c:pt>
                <c:pt idx="2">
                  <c:v>7.6751479062175929E-2</c:v>
                </c:pt>
                <c:pt idx="3">
                  <c:v>9.4464002687023291E-2</c:v>
                </c:pt>
                <c:pt idx="4">
                  <c:v>5.7761135734966502E-2</c:v>
                </c:pt>
                <c:pt idx="5">
                  <c:v>9.0128871985850012E-2</c:v>
                </c:pt>
                <c:pt idx="6">
                  <c:v>-1.1479330768237714E-2</c:v>
                </c:pt>
                <c:pt idx="7">
                  <c:v>0.5065185060490025</c:v>
                </c:pt>
              </c:numCache>
            </c:numRef>
          </c:val>
        </c:ser>
        <c:ser>
          <c:idx val="7"/>
          <c:order val="7"/>
          <c:val>
            <c:numRef>
              <c:f>Лист1!$AT$32:$BA$32</c:f>
              <c:numCache>
                <c:formatCode>General</c:formatCode>
                <c:ptCount val="8"/>
                <c:pt idx="0">
                  <c:v>1.7251593323632355</c:v>
                </c:pt>
                <c:pt idx="1">
                  <c:v>1.7395334547926278</c:v>
                </c:pt>
                <c:pt idx="2">
                  <c:v>1.1652449619312744</c:v>
                </c:pt>
                <c:pt idx="3">
                  <c:v>2.0019324922648729</c:v>
                </c:pt>
                <c:pt idx="4">
                  <c:v>1.0774041780666492</c:v>
                </c:pt>
                <c:pt idx="5">
                  <c:v>1.6709736861379898</c:v>
                </c:pt>
                <c:pt idx="6">
                  <c:v>-0.16654688711269963</c:v>
                </c:pt>
              </c:numCache>
            </c:numRef>
          </c:val>
        </c:ser>
        <c:shape val="cylinder"/>
        <c:axId val="114116480"/>
        <c:axId val="114118016"/>
        <c:axId val="0"/>
      </c:bar3DChart>
      <c:catAx>
        <c:axId val="114116480"/>
        <c:scaling>
          <c:orientation val="minMax"/>
        </c:scaling>
        <c:axPos val="b"/>
        <c:majorTickMark val="none"/>
        <c:tickLblPos val="nextTo"/>
        <c:crossAx val="114118016"/>
        <c:crosses val="autoZero"/>
        <c:auto val="1"/>
        <c:lblAlgn val="ctr"/>
        <c:lblOffset val="100"/>
      </c:catAx>
      <c:valAx>
        <c:axId val="114118016"/>
        <c:scaling>
          <c:orientation val="minMax"/>
        </c:scaling>
        <c:axPos val="l"/>
        <c:majorGridlines/>
        <c:numFmt formatCode="General" sourceLinked="1"/>
        <c:majorTickMark val="none"/>
        <c:tickLblPos val="nextTo"/>
        <c:crossAx val="11411648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a:pPr>
            <a:r>
              <a:rPr lang="en-US"/>
              <a:t>RI&amp; CI Value</a:t>
            </a:r>
          </a:p>
        </c:rich>
      </c:tx>
    </c:title>
    <c:view3D>
      <c:rAngAx val="1"/>
    </c:view3D>
    <c:plotArea>
      <c:layout/>
      <c:bar3DChart>
        <c:barDir val="col"/>
        <c:grouping val="clustered"/>
        <c:ser>
          <c:idx val="0"/>
          <c:order val="0"/>
          <c:tx>
            <c:strRef>
              <c:f>Лист1!$BC$24</c:f>
              <c:strCache>
                <c:ptCount val="1"/>
                <c:pt idx="0">
                  <c:v>Ri</c:v>
                </c:pt>
              </c:strCache>
            </c:strRef>
          </c:tx>
          <c:cat>
            <c:strRef>
              <c:f>Лист1!$BB$25:$BB$31</c:f>
              <c:strCache>
                <c:ptCount val="7"/>
                <c:pt idx="0">
                  <c:v>Insomnia</c:v>
                </c:pt>
                <c:pt idx="1">
                  <c:v>SDB</c:v>
                </c:pt>
                <c:pt idx="2">
                  <c:v>RLS</c:v>
                </c:pt>
                <c:pt idx="3">
                  <c:v>ESD</c:v>
                </c:pt>
                <c:pt idx="4">
                  <c:v>NGH</c:v>
                </c:pt>
                <c:pt idx="5">
                  <c:v>Hypersomnia</c:v>
                </c:pt>
                <c:pt idx="6">
                  <c:v>Environmental Factors</c:v>
                </c:pt>
              </c:strCache>
            </c:strRef>
          </c:cat>
          <c:val>
            <c:numRef>
              <c:f>Лист1!$BC$25:$BC$31</c:f>
              <c:numCache>
                <c:formatCode>General</c:formatCode>
                <c:ptCount val="7"/>
                <c:pt idx="0">
                  <c:v>1.98057160942566</c:v>
                </c:pt>
                <c:pt idx="1">
                  <c:v>1.8733991462193298</c:v>
                </c:pt>
                <c:pt idx="2">
                  <c:v>1.6942359916437595</c:v>
                </c:pt>
                <c:pt idx="3">
                  <c:v>1.2869640727192178</c:v>
                </c:pt>
                <c:pt idx="4">
                  <c:v>1.0722785278169691</c:v>
                </c:pt>
                <c:pt idx="5">
                  <c:v>0.79973336457001754</c:v>
                </c:pt>
                <c:pt idx="6">
                  <c:v>0.5065185060490025</c:v>
                </c:pt>
              </c:numCache>
            </c:numRef>
          </c:val>
        </c:ser>
        <c:ser>
          <c:idx val="1"/>
          <c:order val="1"/>
          <c:tx>
            <c:strRef>
              <c:f>Лист1!$BD$24</c:f>
              <c:strCache>
                <c:ptCount val="1"/>
                <c:pt idx="0">
                  <c:v>Ci</c:v>
                </c:pt>
              </c:strCache>
            </c:strRef>
          </c:tx>
          <c:cat>
            <c:strRef>
              <c:f>Лист1!$BB$25:$BB$31</c:f>
              <c:strCache>
                <c:ptCount val="7"/>
                <c:pt idx="0">
                  <c:v>Insomnia</c:v>
                </c:pt>
                <c:pt idx="1">
                  <c:v>SDB</c:v>
                </c:pt>
                <c:pt idx="2">
                  <c:v>RLS</c:v>
                </c:pt>
                <c:pt idx="3">
                  <c:v>ESD</c:v>
                </c:pt>
                <c:pt idx="4">
                  <c:v>NGH</c:v>
                </c:pt>
                <c:pt idx="5">
                  <c:v>Hypersomnia</c:v>
                </c:pt>
                <c:pt idx="6">
                  <c:v>Environmental Factors</c:v>
                </c:pt>
              </c:strCache>
            </c:strRef>
          </c:cat>
          <c:val>
            <c:numRef>
              <c:f>Лист1!$BD$25:$BD$31</c:f>
              <c:numCache>
                <c:formatCode>General</c:formatCode>
                <c:ptCount val="7"/>
                <c:pt idx="0">
                  <c:v>1.7251593323632355</c:v>
                </c:pt>
                <c:pt idx="1">
                  <c:v>1.7395334547926278</c:v>
                </c:pt>
                <c:pt idx="2">
                  <c:v>1.1652449619312744</c:v>
                </c:pt>
                <c:pt idx="3">
                  <c:v>2.0019324922648729</c:v>
                </c:pt>
                <c:pt idx="4">
                  <c:v>1.0774041780666492</c:v>
                </c:pt>
                <c:pt idx="5">
                  <c:v>1.6709736861379898</c:v>
                </c:pt>
                <c:pt idx="6">
                  <c:v>-0.16654688711269963</c:v>
                </c:pt>
              </c:numCache>
            </c:numRef>
          </c:val>
        </c:ser>
        <c:shape val="box"/>
        <c:axId val="114905472"/>
        <c:axId val="114907008"/>
        <c:axId val="0"/>
      </c:bar3DChart>
      <c:catAx>
        <c:axId val="114905472"/>
        <c:scaling>
          <c:orientation val="minMax"/>
        </c:scaling>
        <c:axPos val="b"/>
        <c:majorTickMark val="none"/>
        <c:tickLblPos val="nextTo"/>
        <c:crossAx val="114907008"/>
        <c:crosses val="autoZero"/>
        <c:auto val="1"/>
        <c:lblAlgn val="ctr"/>
        <c:lblOffset val="100"/>
      </c:catAx>
      <c:valAx>
        <c:axId val="114907008"/>
        <c:scaling>
          <c:orientation val="minMax"/>
        </c:scaling>
        <c:axPos val="l"/>
        <c:majorGridlines/>
        <c:numFmt formatCode="General" sourceLinked="1"/>
        <c:majorTickMark val="none"/>
        <c:tickLblPos val="nextTo"/>
        <c:crossAx val="11490547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43"/>
  <c:chart>
    <c:title>
      <c:tx>
        <c:rich>
          <a:bodyPr/>
          <a:lstStyle/>
          <a:p>
            <a:pPr>
              <a:defRPr/>
            </a:pPr>
            <a:r>
              <a:rPr lang="en-US"/>
              <a:t>Rank </a:t>
            </a:r>
          </a:p>
        </c:rich>
      </c:tx>
    </c:title>
    <c:plotArea>
      <c:layout/>
      <c:barChart>
        <c:barDir val="col"/>
        <c:grouping val="clustered"/>
        <c:ser>
          <c:idx val="0"/>
          <c:order val="0"/>
          <c:dLbls>
            <c:showVal val="1"/>
          </c:dLbls>
          <c:cat>
            <c:strRef>
              <c:f>Лист1!$BK$25:$BK$31</c:f>
              <c:strCache>
                <c:ptCount val="7"/>
                <c:pt idx="0">
                  <c:v>Insomnia</c:v>
                </c:pt>
                <c:pt idx="1">
                  <c:v>SDB</c:v>
                </c:pt>
                <c:pt idx="2">
                  <c:v>RLS</c:v>
                </c:pt>
                <c:pt idx="3">
                  <c:v>ESD</c:v>
                </c:pt>
                <c:pt idx="4">
                  <c:v>NGH</c:v>
                </c:pt>
                <c:pt idx="5">
                  <c:v>Hypersomnia</c:v>
                </c:pt>
                <c:pt idx="6">
                  <c:v>Environmental Factors</c:v>
                </c:pt>
              </c:strCache>
            </c:strRef>
          </c:cat>
          <c:val>
            <c:numRef>
              <c:f>Лист1!$BL$25:$BL$31</c:f>
              <c:numCache>
                <c:formatCode>General</c:formatCode>
                <c:ptCount val="7"/>
                <c:pt idx="0">
                  <c:v>3</c:v>
                </c:pt>
                <c:pt idx="1">
                  <c:v>4</c:v>
                </c:pt>
                <c:pt idx="2">
                  <c:v>2</c:v>
                </c:pt>
                <c:pt idx="3">
                  <c:v>6</c:v>
                </c:pt>
                <c:pt idx="4">
                  <c:v>5</c:v>
                </c:pt>
                <c:pt idx="5">
                  <c:v>7</c:v>
                </c:pt>
                <c:pt idx="6">
                  <c:v>1</c:v>
                </c:pt>
              </c:numCache>
            </c:numRef>
          </c:val>
        </c:ser>
        <c:dLbls>
          <c:showVal val="1"/>
        </c:dLbls>
        <c:overlap val="-25"/>
        <c:axId val="114915200"/>
        <c:axId val="114916736"/>
      </c:barChart>
      <c:catAx>
        <c:axId val="114915200"/>
        <c:scaling>
          <c:orientation val="minMax"/>
        </c:scaling>
        <c:axPos val="b"/>
        <c:majorTickMark val="none"/>
        <c:tickLblPos val="nextTo"/>
        <c:crossAx val="114916736"/>
        <c:crosses val="autoZero"/>
        <c:auto val="1"/>
        <c:lblAlgn val="ctr"/>
        <c:lblOffset val="100"/>
      </c:catAx>
      <c:valAx>
        <c:axId val="114916736"/>
        <c:scaling>
          <c:orientation val="minMax"/>
        </c:scaling>
        <c:delete val="1"/>
        <c:axPos val="l"/>
        <c:numFmt formatCode="General" sourceLinked="1"/>
        <c:tickLblPos val="nextTo"/>
        <c:crossAx val="11491520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BF5956-D1EB-47A9-9449-2F488D65B1F3}">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8A57-A97F-4058-B5B8-38B2B13D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7351</Words>
  <Characters>41903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10.46632/jbab/2/1/1</vt:lpstr>
    </vt:vector>
  </TitlesOfParts>
  <Company>REST Publisher</Company>
  <LinksUpToDate>false</LinksUpToDate>
  <CharactersWithSpaces>49156</CharactersWithSpaces>
  <SharedDoc>false</SharedDoc>
  <HyperlinkBase>http://restpublisher.com/articles/10-46632-jbab-2-1-1/</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10.46632/jbab/2/1/1</dc:title>
  <dc:subject>REST Journal on Banking, Accounting and Business,  ISSN: 2583 4746</dc:subject>
  <dc:creator>Roopendra Singh</dc:creator>
  <cp:lastModifiedBy>919345990208</cp:lastModifiedBy>
  <cp:revision>20</cp:revision>
  <cp:lastPrinted>2023-01-25T09:26:00Z</cp:lastPrinted>
  <dcterms:created xsi:type="dcterms:W3CDTF">2023-09-15T08:38:00Z</dcterms:created>
  <dcterms:modified xsi:type="dcterms:W3CDTF">2024-01-24T05:46:00Z</dcterms:modified>
  <cp:category>Journal</cp:category>
  <cp:contentStatus>Online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f848c5c8a2091b6bc60f5ad5d939633f1230329e6686be997cabea1aeb22c200</vt:lpwstr>
  </property>
</Properties>
</file>